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222CCA07" w:rsidR="00F831B7" w:rsidRPr="001F127C" w:rsidRDefault="00A66290" w:rsidP="001F127C">
      <w:pPr>
        <w:widowControl/>
        <w:jc w:val="center"/>
        <w:rPr>
          <w:rFonts w:ascii="Cambria" w:hAnsi="Cambria"/>
          <w:b/>
          <w:sz w:val="32"/>
          <w:szCs w:val="32"/>
          <w:lang w:val="pt-PT"/>
        </w:rPr>
      </w:pPr>
      <w:bookmarkStart w:id="0" w:name="_GoBack"/>
      <w:bookmarkEnd w:id="0"/>
      <w:r w:rsidRPr="001F127C">
        <w:rPr>
          <w:rFonts w:ascii="Cambria" w:hAnsi="Cambria"/>
          <w:b/>
          <w:sz w:val="32"/>
          <w:szCs w:val="32"/>
          <w:lang w:val="pt-PT"/>
        </w:rPr>
        <w:t>Evidências e reflexões sobre utilização de recursos educacionais abertos em contexto de pandemia</w:t>
      </w:r>
    </w:p>
    <w:p w14:paraId="00000002" w14:textId="196051D0" w:rsidR="00F831B7" w:rsidRPr="001F127C" w:rsidRDefault="00A66290">
      <w:pPr>
        <w:keepNext/>
        <w:widowControl/>
        <w:spacing w:after="160" w:line="300" w:lineRule="auto"/>
        <w:ind w:right="2"/>
        <w:jc w:val="center"/>
        <w:rPr>
          <w:rFonts w:ascii="Cambria" w:hAnsi="Cambria"/>
          <w:i/>
          <w:sz w:val="28"/>
          <w:szCs w:val="28"/>
          <w:lang w:val="pt-PT"/>
        </w:rPr>
      </w:pPr>
      <w:r w:rsidRPr="001F127C">
        <w:rPr>
          <w:rFonts w:ascii="Cambria" w:hAnsi="Cambria"/>
          <w:i/>
          <w:sz w:val="28"/>
          <w:szCs w:val="28"/>
          <w:lang w:val="pt-PT"/>
        </w:rPr>
        <w:t xml:space="preserve">Glória </w:t>
      </w:r>
      <w:proofErr w:type="spellStart"/>
      <w:r w:rsidRPr="001F127C">
        <w:rPr>
          <w:rFonts w:ascii="Cambria" w:hAnsi="Cambria"/>
          <w:i/>
          <w:sz w:val="28"/>
          <w:szCs w:val="28"/>
          <w:lang w:val="pt-PT"/>
        </w:rPr>
        <w:t>Bastos</w:t>
      </w:r>
      <w:r w:rsidR="00083EDE" w:rsidRPr="001F127C">
        <w:rPr>
          <w:rFonts w:ascii="Cambria" w:hAnsi="Cambria"/>
          <w:i/>
          <w:sz w:val="28"/>
          <w:szCs w:val="28"/>
          <w:vertAlign w:val="superscript"/>
          <w:lang w:val="pt-PT"/>
        </w:rPr>
        <w:t>a</w:t>
      </w:r>
      <w:proofErr w:type="spellEnd"/>
      <w:r w:rsidR="00083EDE" w:rsidRPr="001F127C">
        <w:rPr>
          <w:rFonts w:ascii="Cambria" w:hAnsi="Cambria"/>
          <w:i/>
          <w:sz w:val="28"/>
          <w:szCs w:val="28"/>
          <w:lang w:val="pt-PT"/>
        </w:rPr>
        <w:t xml:space="preserve">, </w:t>
      </w:r>
      <w:r w:rsidRPr="001F127C">
        <w:rPr>
          <w:rFonts w:ascii="Cambria" w:hAnsi="Cambria"/>
          <w:i/>
          <w:sz w:val="28"/>
          <w:szCs w:val="28"/>
          <w:lang w:val="pt-PT"/>
        </w:rPr>
        <w:t xml:space="preserve">Madalena </w:t>
      </w:r>
      <w:proofErr w:type="spellStart"/>
      <w:r w:rsidRPr="001F127C">
        <w:rPr>
          <w:rFonts w:ascii="Cambria" w:hAnsi="Cambria"/>
          <w:i/>
          <w:sz w:val="28"/>
          <w:szCs w:val="28"/>
          <w:lang w:val="pt-PT"/>
        </w:rPr>
        <w:t>Carvalho</w:t>
      </w:r>
      <w:r w:rsidR="00083EDE" w:rsidRPr="001F127C">
        <w:rPr>
          <w:rFonts w:ascii="Cambria" w:hAnsi="Cambria"/>
          <w:i/>
          <w:sz w:val="28"/>
          <w:szCs w:val="28"/>
          <w:vertAlign w:val="superscript"/>
          <w:lang w:val="pt-PT"/>
        </w:rPr>
        <w:t>b</w:t>
      </w:r>
      <w:proofErr w:type="spellEnd"/>
    </w:p>
    <w:p w14:paraId="45D2DCCF" w14:textId="22584DB5" w:rsidR="001F127C" w:rsidRPr="001F127C" w:rsidRDefault="00A66290" w:rsidP="00A66290">
      <w:pPr>
        <w:widowControl/>
        <w:jc w:val="center"/>
        <w:rPr>
          <w:rFonts w:ascii="Cambria" w:hAnsi="Cambria"/>
          <w:i/>
          <w:sz w:val="24"/>
          <w:szCs w:val="24"/>
          <w:lang w:val="pt-PT"/>
        </w:rPr>
      </w:pPr>
      <w:r w:rsidRPr="001F127C">
        <w:rPr>
          <w:rFonts w:ascii="Cambria" w:hAnsi="Cambria"/>
          <w:i/>
          <w:sz w:val="24"/>
          <w:szCs w:val="24"/>
          <w:vertAlign w:val="superscript"/>
          <w:lang w:val="pt-PT"/>
        </w:rPr>
        <w:t>a</w:t>
      </w:r>
      <w:r w:rsidRPr="001F127C">
        <w:rPr>
          <w:rFonts w:ascii="Cambria" w:hAnsi="Cambria"/>
          <w:i/>
          <w:sz w:val="24"/>
          <w:szCs w:val="24"/>
          <w:lang w:val="pt-PT"/>
        </w:rPr>
        <w:t xml:space="preserve"> Universidade Aberta, Portugal, </w:t>
      </w:r>
      <w:hyperlink r:id="rId8" w:history="1">
        <w:r w:rsidR="001F127C" w:rsidRPr="006D20EA">
          <w:rPr>
            <w:rStyle w:val="Hiperligao"/>
            <w:rFonts w:ascii="Cambria" w:hAnsi="Cambria"/>
            <w:i/>
            <w:sz w:val="24"/>
            <w:szCs w:val="24"/>
            <w:lang w:val="pt-PT"/>
          </w:rPr>
          <w:t>gloria.bastos@uab.pt</w:t>
        </w:r>
      </w:hyperlink>
    </w:p>
    <w:p w14:paraId="00000004" w14:textId="7E485DA3" w:rsidR="00F831B7" w:rsidRPr="001F127C" w:rsidRDefault="00A66290" w:rsidP="00A66290">
      <w:pPr>
        <w:widowControl/>
        <w:jc w:val="center"/>
        <w:rPr>
          <w:rFonts w:ascii="Cambria" w:hAnsi="Cambria"/>
          <w:i/>
          <w:sz w:val="24"/>
          <w:szCs w:val="24"/>
          <w:lang w:val="pt-PT"/>
        </w:rPr>
      </w:pPr>
      <w:r w:rsidRPr="001F127C">
        <w:rPr>
          <w:rFonts w:ascii="Cambria" w:hAnsi="Cambria"/>
          <w:i/>
          <w:sz w:val="24"/>
          <w:szCs w:val="24"/>
          <w:vertAlign w:val="superscript"/>
          <w:lang w:val="pt-PT"/>
        </w:rPr>
        <w:t xml:space="preserve">b </w:t>
      </w:r>
      <w:r w:rsidRPr="001F127C">
        <w:rPr>
          <w:rFonts w:ascii="Cambria" w:hAnsi="Cambria"/>
          <w:i/>
          <w:sz w:val="24"/>
          <w:szCs w:val="24"/>
          <w:lang w:val="pt-PT"/>
        </w:rPr>
        <w:t>Universidade Aberta, Portugal, maria.carvalho@uab.pt</w:t>
      </w:r>
    </w:p>
    <w:p w14:paraId="00000005" w14:textId="77777777" w:rsidR="00F831B7" w:rsidRPr="00352A91" w:rsidRDefault="00F831B7">
      <w:pPr>
        <w:widowControl/>
        <w:spacing w:line="200" w:lineRule="auto"/>
        <w:jc w:val="center"/>
        <w:rPr>
          <w:i/>
          <w:sz w:val="24"/>
          <w:szCs w:val="24"/>
          <w:lang w:val="pt-PT"/>
        </w:rPr>
      </w:pPr>
    </w:p>
    <w:p w14:paraId="00000006" w14:textId="77777777" w:rsidR="00F831B7" w:rsidRPr="00352A91" w:rsidRDefault="00083EDE" w:rsidP="001F127C">
      <w:pPr>
        <w:keepNext/>
        <w:widowControl/>
        <w:pBdr>
          <w:top w:val="single" w:sz="4" w:space="10" w:color="000000"/>
        </w:pBdr>
        <w:spacing w:before="200" w:after="220" w:line="221" w:lineRule="auto"/>
        <w:outlineLvl w:val="0"/>
        <w:rPr>
          <w:b/>
          <w:sz w:val="26"/>
          <w:szCs w:val="26"/>
          <w:lang w:val="pt-PT"/>
        </w:rPr>
      </w:pPr>
      <w:r w:rsidRPr="00352A91">
        <w:rPr>
          <w:b/>
          <w:sz w:val="26"/>
          <w:szCs w:val="26"/>
          <w:lang w:val="pt-PT"/>
        </w:rPr>
        <w:t>Resumo</w:t>
      </w:r>
    </w:p>
    <w:p w14:paraId="0D12C0B3" w14:textId="77777777" w:rsidR="00976546" w:rsidRDefault="00976546" w:rsidP="001F127C">
      <w:pPr>
        <w:spacing w:line="300" w:lineRule="auto"/>
        <w:jc w:val="both"/>
        <w:rPr>
          <w:lang w:val="pt-PT"/>
        </w:rPr>
      </w:pPr>
      <w:r w:rsidRPr="00976546">
        <w:rPr>
          <w:lang w:val="pt-PT"/>
        </w:rPr>
        <w:t>O estudo pretende contribuir para determinar de que forma a situação decorrente da pandemia de Covid 19 se refletiu no aumento do interesse pela utilização de recursos educacionais abertos (REA) disponibilizados pela Universidade Aberta de Portugal (UAb). Para percecionar a existência de padrões de utilização, antes e depois do período pandémico, é efetuada uma análise comparativa dos dados de utilização do repositório institucional da UAb, expressos em números e locais de utilização dos conteúdos da comunidade REA.  O trabalho apresenta ainda uma reflexão acerca da contribuição dos REA para a globalização da ciência e da sua mediação pedagógica. A análise dos dados estatísticos descritos de modo comparado permite-nos evidenciar a relevância que o Repositório assume para aumentar a visibilidade das coleções e o seu impacto junto da comunidade científica e educacional, nacional e internacional.</w:t>
      </w:r>
    </w:p>
    <w:p w14:paraId="00000008" w14:textId="77777777" w:rsidR="00F831B7" w:rsidRPr="00352A91" w:rsidRDefault="00F831B7">
      <w:pPr>
        <w:spacing w:line="276" w:lineRule="auto"/>
        <w:jc w:val="both"/>
        <w:rPr>
          <w:lang w:val="pt-PT"/>
        </w:rPr>
      </w:pPr>
    </w:p>
    <w:p w14:paraId="0000000B" w14:textId="54C55BAD" w:rsidR="00F831B7" w:rsidRPr="00352A91" w:rsidRDefault="00083EDE">
      <w:pPr>
        <w:widowControl/>
        <w:pBdr>
          <w:bottom w:val="single" w:sz="4" w:space="10" w:color="000000"/>
        </w:pBdr>
        <w:spacing w:after="200" w:line="276" w:lineRule="auto"/>
        <w:jc w:val="both"/>
        <w:rPr>
          <w:lang w:val="pt-PT"/>
        </w:rPr>
      </w:pPr>
      <w:r w:rsidRPr="00352A91">
        <w:rPr>
          <w:b/>
          <w:lang w:val="pt-PT"/>
        </w:rPr>
        <w:t>Palavras-chave</w:t>
      </w:r>
      <w:r w:rsidRPr="00352A91">
        <w:rPr>
          <w:lang w:val="pt-PT"/>
        </w:rPr>
        <w:t xml:space="preserve">: </w:t>
      </w:r>
      <w:r w:rsidR="00976546" w:rsidRPr="00976546">
        <w:rPr>
          <w:lang w:val="pt-PT"/>
        </w:rPr>
        <w:t>Recursos educacionais abertos, Práticas educacionais abertas, Universidade Aberta, Repositório Aberto</w:t>
      </w:r>
    </w:p>
    <w:p w14:paraId="71391DAB" w14:textId="77777777" w:rsidR="00976546" w:rsidRDefault="00976546" w:rsidP="001F127C">
      <w:pPr>
        <w:keepNext/>
        <w:widowControl/>
        <w:spacing w:after="120"/>
        <w:rPr>
          <w:b/>
          <w:sz w:val="26"/>
          <w:szCs w:val="26"/>
          <w:lang w:val="pt-PT"/>
        </w:rPr>
      </w:pPr>
      <w:r>
        <w:rPr>
          <w:b/>
          <w:sz w:val="26"/>
          <w:szCs w:val="26"/>
          <w:lang w:val="pt-PT"/>
        </w:rPr>
        <w:t>Introdução</w:t>
      </w:r>
    </w:p>
    <w:p w14:paraId="0A060EBE" w14:textId="6EE2C93F" w:rsidR="00976546" w:rsidRPr="00976546" w:rsidRDefault="00976546" w:rsidP="00976546">
      <w:pPr>
        <w:spacing w:after="120" w:line="276" w:lineRule="auto"/>
        <w:jc w:val="both"/>
        <w:rPr>
          <w:sz w:val="22"/>
          <w:szCs w:val="22"/>
          <w:lang w:val="pt-PT"/>
        </w:rPr>
      </w:pPr>
      <w:r w:rsidRPr="00976546">
        <w:rPr>
          <w:sz w:val="22"/>
          <w:szCs w:val="22"/>
          <w:lang w:val="pt-PT"/>
        </w:rPr>
        <w:t xml:space="preserve">Nas últimas décadas, o movimento de Recursos Educacionais Abertos (REA) tem assumido uma importância significativa e um papel de destaque em novos contextos e cenários relacionados com a Educação Aberta. Num contexto em que é necessário ampliar o acesso à aprendizagem e ao conhecimento a custos reduzidos, verifica-se uma crescente consciencialização da comunidade docente para a incorporação dos REA nas suas práticas educativas, bem como para a disponibilização das suas próprias produções para reutilização. E a pandemia de Covid-19 acelerou as mudanças nesse campo. Nunca como no ano de 2020 houve tantos professores e estudantes expostos ao ensino e aprendizagem </w:t>
      </w:r>
      <w:r w:rsidRPr="000323CF">
        <w:rPr>
          <w:i/>
          <w:iCs/>
          <w:sz w:val="22"/>
          <w:szCs w:val="22"/>
          <w:lang w:val="pt-PT"/>
        </w:rPr>
        <w:t>online</w:t>
      </w:r>
      <w:r w:rsidRPr="00976546">
        <w:rPr>
          <w:sz w:val="22"/>
          <w:szCs w:val="22"/>
          <w:lang w:val="pt-PT"/>
        </w:rPr>
        <w:t xml:space="preserve"> na Europa (EUA, 2020). Para assegurar o funcionamento no contexto de afastamento social, as instituições foram obrigadas a mudar os seus processos de ensino e aprendizagem para um ensino remoto de emergência (Hodges </w:t>
      </w:r>
      <w:proofErr w:type="spellStart"/>
      <w:r w:rsidRPr="00130459">
        <w:rPr>
          <w:i/>
          <w:iCs/>
          <w:sz w:val="22"/>
          <w:szCs w:val="22"/>
          <w:lang w:val="pt-PT"/>
        </w:rPr>
        <w:t>et</w:t>
      </w:r>
      <w:proofErr w:type="spellEnd"/>
      <w:r w:rsidRPr="00130459">
        <w:rPr>
          <w:i/>
          <w:iCs/>
          <w:sz w:val="22"/>
          <w:szCs w:val="22"/>
          <w:lang w:val="pt-PT"/>
        </w:rPr>
        <w:t xml:space="preserve"> al.</w:t>
      </w:r>
      <w:r w:rsidRPr="00976546">
        <w:rPr>
          <w:sz w:val="22"/>
          <w:szCs w:val="22"/>
          <w:lang w:val="pt-PT"/>
        </w:rPr>
        <w:t xml:space="preserve">, 2020). As condicionantes tornaram mais premente a necessidade de disponibilizar o acesso a recursos online de qualidade, pelo que assistimos a uma rápida expansão da oferta digital (EUA, 2021). A especificidade do contexto e as necessidades dele decorrentes, tanto para professores quanto para os estudantes, aumentaram a importância dos Recursos Educacionais Abertos. O estudo desenvolvido pelo </w:t>
      </w:r>
      <w:proofErr w:type="spellStart"/>
      <w:r w:rsidRPr="00976546">
        <w:rPr>
          <w:sz w:val="22"/>
          <w:szCs w:val="22"/>
          <w:lang w:val="pt-PT"/>
        </w:rPr>
        <w:t>Library</w:t>
      </w:r>
      <w:proofErr w:type="spellEnd"/>
      <w:r w:rsidRPr="00976546">
        <w:rPr>
          <w:sz w:val="22"/>
          <w:szCs w:val="22"/>
          <w:lang w:val="pt-PT"/>
        </w:rPr>
        <w:t xml:space="preserve"> </w:t>
      </w:r>
      <w:proofErr w:type="spellStart"/>
      <w:r w:rsidRPr="00976546">
        <w:rPr>
          <w:sz w:val="22"/>
          <w:szCs w:val="22"/>
          <w:lang w:val="pt-PT"/>
        </w:rPr>
        <w:t>Journal</w:t>
      </w:r>
      <w:proofErr w:type="spellEnd"/>
      <w:r w:rsidRPr="00976546">
        <w:rPr>
          <w:sz w:val="22"/>
          <w:szCs w:val="22"/>
          <w:lang w:val="pt-PT"/>
        </w:rPr>
        <w:t xml:space="preserve"> (2020) sobre acesso aberto e uso de REA sugere que, devido às restrições impostas pela pandemia, os professores estão mais recetivos à utilização de recursos de acesso aberto e que muitas bibliotecas académicas aumentaram os esforços para os identificar e disponibilizar.</w:t>
      </w:r>
    </w:p>
    <w:p w14:paraId="25704F77" w14:textId="77777777" w:rsidR="00976546" w:rsidRPr="00976546" w:rsidRDefault="00976546" w:rsidP="00976546">
      <w:pPr>
        <w:spacing w:after="120" w:line="276" w:lineRule="auto"/>
        <w:jc w:val="both"/>
        <w:rPr>
          <w:sz w:val="22"/>
          <w:szCs w:val="22"/>
          <w:lang w:val="pt-PT"/>
        </w:rPr>
      </w:pPr>
      <w:r w:rsidRPr="00976546">
        <w:rPr>
          <w:sz w:val="22"/>
          <w:szCs w:val="22"/>
          <w:lang w:val="pt-PT"/>
        </w:rPr>
        <w:lastRenderedPageBreak/>
        <w:t xml:space="preserve">Na Europa, o estudo realizado pela </w:t>
      </w:r>
      <w:proofErr w:type="spellStart"/>
      <w:r w:rsidRPr="00976546">
        <w:rPr>
          <w:sz w:val="22"/>
          <w:szCs w:val="22"/>
          <w:lang w:val="pt-PT"/>
        </w:rPr>
        <w:t>Association</w:t>
      </w:r>
      <w:proofErr w:type="spellEnd"/>
      <w:r w:rsidRPr="00976546">
        <w:rPr>
          <w:sz w:val="22"/>
          <w:szCs w:val="22"/>
          <w:lang w:val="pt-PT"/>
        </w:rPr>
        <w:t xml:space="preserve"> </w:t>
      </w:r>
      <w:proofErr w:type="spellStart"/>
      <w:r w:rsidRPr="00976546">
        <w:rPr>
          <w:sz w:val="22"/>
          <w:szCs w:val="22"/>
          <w:lang w:val="pt-PT"/>
        </w:rPr>
        <w:t>of</w:t>
      </w:r>
      <w:proofErr w:type="spellEnd"/>
      <w:r w:rsidRPr="00976546">
        <w:rPr>
          <w:sz w:val="22"/>
          <w:szCs w:val="22"/>
          <w:lang w:val="pt-PT"/>
        </w:rPr>
        <w:t xml:space="preserve"> </w:t>
      </w:r>
      <w:proofErr w:type="spellStart"/>
      <w:r w:rsidRPr="00976546">
        <w:rPr>
          <w:sz w:val="22"/>
          <w:szCs w:val="22"/>
          <w:lang w:val="pt-PT"/>
        </w:rPr>
        <w:t>European</w:t>
      </w:r>
      <w:proofErr w:type="spellEnd"/>
      <w:r w:rsidRPr="00976546">
        <w:rPr>
          <w:sz w:val="22"/>
          <w:szCs w:val="22"/>
          <w:lang w:val="pt-PT"/>
        </w:rPr>
        <w:t xml:space="preserve"> Research </w:t>
      </w:r>
      <w:proofErr w:type="spellStart"/>
      <w:r w:rsidRPr="00976546">
        <w:rPr>
          <w:sz w:val="22"/>
          <w:szCs w:val="22"/>
          <w:lang w:val="pt-PT"/>
        </w:rPr>
        <w:t>Libraries</w:t>
      </w:r>
      <w:proofErr w:type="spellEnd"/>
      <w:r w:rsidRPr="00976546">
        <w:rPr>
          <w:sz w:val="22"/>
          <w:szCs w:val="22"/>
          <w:lang w:val="pt-PT"/>
        </w:rPr>
        <w:t xml:space="preserve"> mostrou que a digitalização e o acesso aberto aos recursos são as principais preocupações das bibliotecas académicas e que a pandemia acentuou essas necessidades (LIBER, 2020). </w:t>
      </w:r>
    </w:p>
    <w:p w14:paraId="0000000D" w14:textId="321F893F" w:rsidR="00F831B7" w:rsidRDefault="000323CF" w:rsidP="00976546">
      <w:pPr>
        <w:spacing w:after="120" w:line="276" w:lineRule="auto"/>
        <w:jc w:val="both"/>
        <w:rPr>
          <w:sz w:val="22"/>
          <w:szCs w:val="22"/>
          <w:lang w:val="pt-PT"/>
        </w:rPr>
      </w:pPr>
      <w:r w:rsidRPr="000323CF">
        <w:rPr>
          <w:sz w:val="22"/>
          <w:szCs w:val="22"/>
          <w:lang w:val="pt-PT"/>
        </w:rPr>
        <w:t xml:space="preserve">Da análise efetuada aos portais dos 53 repositórios das Instituições de Ensino Superior Portuguesas (IES) representados no Diretório RCAAP, constatou-se que a UAb é a única instituição que evidencia a existência de uma comunidade autónoma na qual são agrupados todos os conteúdos classificados com a tipologia </w:t>
      </w:r>
      <w:proofErr w:type="spellStart"/>
      <w:r w:rsidRPr="000323CF">
        <w:rPr>
          <w:i/>
          <w:iCs/>
          <w:sz w:val="22"/>
          <w:szCs w:val="22"/>
          <w:lang w:val="pt-PT"/>
        </w:rPr>
        <w:t>pedagogicalPublication</w:t>
      </w:r>
      <w:proofErr w:type="spellEnd"/>
      <w:r w:rsidRPr="000323CF">
        <w:rPr>
          <w:sz w:val="22"/>
          <w:szCs w:val="22"/>
          <w:lang w:val="pt-PT"/>
        </w:rPr>
        <w:t xml:space="preserve">, depositados no </w:t>
      </w:r>
      <w:r w:rsidR="0029099A" w:rsidRPr="00976546">
        <w:rPr>
          <w:sz w:val="22"/>
          <w:szCs w:val="22"/>
          <w:lang w:val="pt-PT"/>
        </w:rPr>
        <w:t>Repositório Aberto</w:t>
      </w:r>
      <w:r w:rsidRPr="000323CF">
        <w:rPr>
          <w:sz w:val="22"/>
          <w:szCs w:val="22"/>
          <w:lang w:val="pt-PT"/>
        </w:rPr>
        <w:t xml:space="preserve">. O volume deste acervo corresponde a 23% do acervo de todo o </w:t>
      </w:r>
      <w:r w:rsidR="0029099A">
        <w:rPr>
          <w:sz w:val="22"/>
          <w:szCs w:val="22"/>
          <w:lang w:val="pt-PT"/>
        </w:rPr>
        <w:t>r</w:t>
      </w:r>
      <w:r w:rsidRPr="000323CF">
        <w:rPr>
          <w:sz w:val="22"/>
          <w:szCs w:val="22"/>
          <w:lang w:val="pt-PT"/>
        </w:rPr>
        <w:t xml:space="preserve">epositório. Todos os documentos cumprem os requisitos REA conforme definidos pela UNESCO (2012) e pela </w:t>
      </w:r>
      <w:r w:rsidRPr="0029099A">
        <w:rPr>
          <w:i/>
          <w:sz w:val="22"/>
          <w:szCs w:val="22"/>
          <w:lang w:val="pt-PT"/>
        </w:rPr>
        <w:t xml:space="preserve">Commonwealth </w:t>
      </w:r>
      <w:proofErr w:type="spellStart"/>
      <w:r w:rsidRPr="0029099A">
        <w:rPr>
          <w:i/>
          <w:sz w:val="22"/>
          <w:szCs w:val="22"/>
          <w:lang w:val="pt-PT"/>
        </w:rPr>
        <w:t>of</w:t>
      </w:r>
      <w:proofErr w:type="spellEnd"/>
      <w:r w:rsidRPr="0029099A">
        <w:rPr>
          <w:i/>
          <w:sz w:val="22"/>
          <w:szCs w:val="22"/>
          <w:lang w:val="pt-PT"/>
        </w:rPr>
        <w:t xml:space="preserve"> </w:t>
      </w:r>
      <w:proofErr w:type="spellStart"/>
      <w:r w:rsidRPr="0029099A">
        <w:rPr>
          <w:i/>
          <w:sz w:val="22"/>
          <w:szCs w:val="22"/>
          <w:lang w:val="pt-PT"/>
        </w:rPr>
        <w:t>Learning</w:t>
      </w:r>
      <w:proofErr w:type="spellEnd"/>
      <w:r w:rsidRPr="000323CF">
        <w:rPr>
          <w:sz w:val="22"/>
          <w:szCs w:val="22"/>
          <w:lang w:val="pt-PT"/>
        </w:rPr>
        <w:t xml:space="preserve"> – COL (2015). Adicionalmente, </w:t>
      </w:r>
      <w:r>
        <w:rPr>
          <w:sz w:val="22"/>
          <w:szCs w:val="22"/>
          <w:lang w:val="pt-PT"/>
        </w:rPr>
        <w:t>c</w:t>
      </w:r>
      <w:r w:rsidR="00293A65" w:rsidRPr="00976546">
        <w:rPr>
          <w:sz w:val="22"/>
          <w:szCs w:val="22"/>
          <w:lang w:val="pt-PT"/>
        </w:rPr>
        <w:t xml:space="preserve">onforme referido por Bastos &amp; Carvalho (2019), o modo sistemático e articulado com que o projeto tem sido desenvolvido pela instituição permite facilitar a localização e promover a confiança dos utilizadores na qualidade e </w:t>
      </w:r>
      <w:r w:rsidR="00A35F1C">
        <w:rPr>
          <w:sz w:val="22"/>
          <w:szCs w:val="22"/>
          <w:lang w:val="pt-PT"/>
        </w:rPr>
        <w:t xml:space="preserve">a </w:t>
      </w:r>
      <w:r w:rsidR="00293A65" w:rsidRPr="00976546">
        <w:rPr>
          <w:sz w:val="22"/>
          <w:szCs w:val="22"/>
          <w:lang w:val="pt-PT"/>
        </w:rPr>
        <w:t>utilização d</w:t>
      </w:r>
      <w:r w:rsidR="00293A65">
        <w:rPr>
          <w:sz w:val="22"/>
          <w:szCs w:val="22"/>
          <w:lang w:val="pt-PT"/>
        </w:rPr>
        <w:t xml:space="preserve">estes </w:t>
      </w:r>
      <w:r w:rsidR="00293A65" w:rsidRPr="00976546">
        <w:rPr>
          <w:sz w:val="22"/>
          <w:szCs w:val="22"/>
          <w:lang w:val="pt-PT"/>
        </w:rPr>
        <w:t>recursos.</w:t>
      </w:r>
      <w:r w:rsidR="006E49FB">
        <w:rPr>
          <w:sz w:val="22"/>
          <w:szCs w:val="22"/>
          <w:lang w:val="pt-PT"/>
        </w:rPr>
        <w:t xml:space="preserve"> </w:t>
      </w:r>
      <w:r w:rsidR="00976546" w:rsidRPr="00976546">
        <w:rPr>
          <w:sz w:val="22"/>
          <w:szCs w:val="22"/>
          <w:lang w:val="pt-PT"/>
        </w:rPr>
        <w:t xml:space="preserve">Simultaneamente, no âmbito da estratégia institucional no campo da Educação Aberta, a UAb estimula a implementação de definições e procedimentos de modo a associar aos </w:t>
      </w:r>
      <w:r w:rsidR="00702CAE">
        <w:rPr>
          <w:sz w:val="22"/>
          <w:szCs w:val="22"/>
          <w:lang w:val="pt-PT"/>
        </w:rPr>
        <w:t xml:space="preserve">recursos </w:t>
      </w:r>
      <w:r w:rsidR="00976546" w:rsidRPr="00976546">
        <w:rPr>
          <w:sz w:val="22"/>
          <w:szCs w:val="22"/>
          <w:lang w:val="pt-PT"/>
        </w:rPr>
        <w:t>REA disponibilizados no Repositório Aberto, a descrição dos conteúdos e a sua ligação a contextos concretos de uso pedagógico, estabelecendo assim um ecossistema de recursos e de Práticas Educacionais Abertas (PEA).</w:t>
      </w:r>
    </w:p>
    <w:p w14:paraId="62F54D2E" w14:textId="10C176CF" w:rsidR="00976546" w:rsidRDefault="00976546" w:rsidP="00976546">
      <w:pPr>
        <w:spacing w:after="120" w:line="276" w:lineRule="auto"/>
        <w:jc w:val="both"/>
        <w:rPr>
          <w:sz w:val="22"/>
          <w:szCs w:val="22"/>
          <w:lang w:val="pt-PT"/>
        </w:rPr>
      </w:pPr>
      <w:r w:rsidRPr="00976546">
        <w:rPr>
          <w:sz w:val="22"/>
          <w:szCs w:val="22"/>
          <w:lang w:val="pt-PT"/>
        </w:rPr>
        <w:t xml:space="preserve">Considerando que os repositórios institucionais </w:t>
      </w:r>
      <w:r w:rsidR="00130459">
        <w:rPr>
          <w:sz w:val="22"/>
          <w:szCs w:val="22"/>
          <w:lang w:val="pt-PT"/>
        </w:rPr>
        <w:t xml:space="preserve">(RI) </w:t>
      </w:r>
      <w:r w:rsidRPr="00976546">
        <w:rPr>
          <w:sz w:val="22"/>
          <w:szCs w:val="22"/>
          <w:lang w:val="pt-PT"/>
        </w:rPr>
        <w:t xml:space="preserve">contribuem para a internacionalização do conhecimento e o acesso aberto permite ampliar o papel social das universidades, </w:t>
      </w:r>
      <w:r>
        <w:rPr>
          <w:sz w:val="22"/>
          <w:szCs w:val="22"/>
          <w:lang w:val="pt-PT"/>
        </w:rPr>
        <w:t xml:space="preserve">foi realizado um </w:t>
      </w:r>
      <w:r w:rsidRPr="00976546">
        <w:rPr>
          <w:sz w:val="22"/>
          <w:szCs w:val="22"/>
          <w:lang w:val="pt-PT"/>
        </w:rPr>
        <w:t xml:space="preserve">estudo </w:t>
      </w:r>
      <w:r>
        <w:rPr>
          <w:sz w:val="22"/>
          <w:szCs w:val="22"/>
          <w:lang w:val="pt-PT"/>
        </w:rPr>
        <w:t>que</w:t>
      </w:r>
      <w:r w:rsidRPr="00976546">
        <w:rPr>
          <w:sz w:val="22"/>
          <w:szCs w:val="22"/>
          <w:lang w:val="pt-PT"/>
        </w:rPr>
        <w:t xml:space="preserve"> analisa de que forma a situação decorrente da pandemia de Covid 19 se refletiu no interesse pela utilização dos conteúdos REA </w:t>
      </w:r>
      <w:r>
        <w:rPr>
          <w:sz w:val="22"/>
          <w:szCs w:val="22"/>
          <w:lang w:val="pt-PT"/>
        </w:rPr>
        <w:t xml:space="preserve">disponibilizados numa comunidade específica </w:t>
      </w:r>
      <w:r w:rsidRPr="00976546">
        <w:rPr>
          <w:sz w:val="22"/>
          <w:szCs w:val="22"/>
          <w:lang w:val="pt-PT"/>
        </w:rPr>
        <w:t xml:space="preserve">do </w:t>
      </w:r>
      <w:r w:rsidR="0029099A">
        <w:rPr>
          <w:sz w:val="22"/>
          <w:szCs w:val="22"/>
          <w:lang w:val="pt-PT"/>
        </w:rPr>
        <w:t>RI</w:t>
      </w:r>
      <w:r w:rsidRPr="00976546">
        <w:rPr>
          <w:sz w:val="22"/>
          <w:szCs w:val="22"/>
          <w:lang w:val="pt-PT"/>
        </w:rPr>
        <w:t xml:space="preserve"> da UAb. Perspetiva-se ainda a contribuição dos REA para a globalização da ciência e da sua mediação pedagógica. </w:t>
      </w:r>
    </w:p>
    <w:p w14:paraId="5F5C357D" w14:textId="5D6A7607" w:rsidR="00976546" w:rsidRPr="00976546" w:rsidRDefault="00976546" w:rsidP="001F127C">
      <w:pPr>
        <w:spacing w:after="120" w:line="276" w:lineRule="auto"/>
        <w:outlineLvl w:val="0"/>
        <w:rPr>
          <w:b/>
          <w:bCs/>
          <w:sz w:val="26"/>
          <w:szCs w:val="26"/>
          <w:lang w:val="pt-PT"/>
        </w:rPr>
      </w:pPr>
      <w:r w:rsidRPr="00976546">
        <w:rPr>
          <w:b/>
          <w:bCs/>
          <w:sz w:val="26"/>
          <w:szCs w:val="26"/>
          <w:lang w:val="pt-PT"/>
        </w:rPr>
        <w:t>Resultados do Estudo e Discussão</w:t>
      </w:r>
    </w:p>
    <w:p w14:paraId="779EC6D5" w14:textId="4694A144" w:rsidR="00976546" w:rsidRPr="00976546" w:rsidRDefault="00976546" w:rsidP="00976546">
      <w:pPr>
        <w:spacing w:after="120" w:line="276" w:lineRule="auto"/>
        <w:jc w:val="both"/>
        <w:rPr>
          <w:sz w:val="22"/>
          <w:szCs w:val="22"/>
          <w:lang w:val="pt-PT"/>
        </w:rPr>
      </w:pPr>
      <w:r w:rsidRPr="00976546">
        <w:rPr>
          <w:sz w:val="22"/>
          <w:szCs w:val="22"/>
          <w:lang w:val="pt-PT"/>
        </w:rPr>
        <w:t>Foi efetuada uma recolha e análise comparativa do número e local de origem dos downloads dos conteúdos REA</w:t>
      </w:r>
      <w:r w:rsidR="00E93947">
        <w:rPr>
          <w:sz w:val="22"/>
          <w:szCs w:val="22"/>
          <w:lang w:val="pt-PT"/>
        </w:rPr>
        <w:t>,</w:t>
      </w:r>
      <w:r w:rsidRPr="00976546">
        <w:rPr>
          <w:sz w:val="22"/>
          <w:szCs w:val="22"/>
          <w:lang w:val="pt-PT"/>
        </w:rPr>
        <w:t xml:space="preserve"> registados nos anos de 2018 a 2021. </w:t>
      </w:r>
      <w:r w:rsidR="00A66290">
        <w:rPr>
          <w:sz w:val="22"/>
          <w:szCs w:val="22"/>
          <w:lang w:val="pt-PT"/>
        </w:rPr>
        <w:t>Este período temporal permit</w:t>
      </w:r>
      <w:r w:rsidR="00E93947">
        <w:rPr>
          <w:sz w:val="22"/>
          <w:szCs w:val="22"/>
          <w:lang w:val="pt-PT"/>
        </w:rPr>
        <w:t>iu</w:t>
      </w:r>
      <w:r w:rsidR="00A66290">
        <w:rPr>
          <w:sz w:val="22"/>
          <w:szCs w:val="22"/>
          <w:lang w:val="pt-PT"/>
        </w:rPr>
        <w:t xml:space="preserve"> comparar os dois anos marcados pela pandemia e os dois anos imediatamente ante</w:t>
      </w:r>
      <w:r w:rsidR="00E93947">
        <w:rPr>
          <w:sz w:val="22"/>
          <w:szCs w:val="22"/>
          <w:lang w:val="pt-PT"/>
        </w:rPr>
        <w:t>riores</w:t>
      </w:r>
      <w:r w:rsidR="00A66290">
        <w:rPr>
          <w:sz w:val="22"/>
          <w:szCs w:val="22"/>
          <w:lang w:val="pt-PT"/>
        </w:rPr>
        <w:t>, por forma a poder-se identificar eventuais mudanças nos padrões de acesso à comunidade REA do Repositório Aberto</w:t>
      </w:r>
      <w:r w:rsidR="00E93947">
        <w:rPr>
          <w:sz w:val="22"/>
          <w:szCs w:val="22"/>
          <w:lang w:val="pt-PT"/>
        </w:rPr>
        <w:t>.</w:t>
      </w:r>
    </w:p>
    <w:p w14:paraId="10DC52E9" w14:textId="550E2316" w:rsidR="00E93947" w:rsidRDefault="00976546" w:rsidP="00976546">
      <w:pPr>
        <w:spacing w:after="120" w:line="276" w:lineRule="auto"/>
        <w:jc w:val="both"/>
        <w:rPr>
          <w:sz w:val="22"/>
          <w:szCs w:val="22"/>
          <w:lang w:val="pt-PT"/>
        </w:rPr>
      </w:pPr>
      <w:r w:rsidRPr="00976546">
        <w:rPr>
          <w:sz w:val="22"/>
          <w:szCs w:val="22"/>
          <w:lang w:val="pt-PT"/>
        </w:rPr>
        <w:t>No final de 2021</w:t>
      </w:r>
      <w:r w:rsidR="00E93947">
        <w:rPr>
          <w:sz w:val="22"/>
          <w:szCs w:val="22"/>
          <w:lang w:val="pt-PT"/>
        </w:rPr>
        <w:t>,</w:t>
      </w:r>
      <w:r w:rsidRPr="00976546">
        <w:rPr>
          <w:sz w:val="22"/>
          <w:szCs w:val="22"/>
          <w:lang w:val="pt-PT"/>
        </w:rPr>
        <w:t xml:space="preserve"> a comunidade REA disponibilizava um acervo que correspondia a 21,9% do </w:t>
      </w:r>
      <w:r w:rsidR="00E93947">
        <w:rPr>
          <w:sz w:val="22"/>
          <w:szCs w:val="22"/>
          <w:lang w:val="pt-PT"/>
        </w:rPr>
        <w:t xml:space="preserve">total de recursos integrados no </w:t>
      </w:r>
      <w:r w:rsidRPr="00976546">
        <w:rPr>
          <w:sz w:val="22"/>
          <w:szCs w:val="22"/>
          <w:lang w:val="pt-PT"/>
        </w:rPr>
        <w:t xml:space="preserve">Repositório. A análise dos indicadores de utilização dos recursos no período em estudo revela um crescimento significativo do número de downloads efetuados por uma comunidade de utilizadores geograficamente distribuída por diferentes países. Encabeçada pelo Brasil que evidencia, destacado, a realização do maior número de downloads, os principais lugares desta lista são ocupados por Portugal, Angola e Moçambique, países que partilham entre si a utilização da língua portuguesa. Sendo 94% dos REA do Repositório em língua portuguesa, as estatísticas de acesso atestam a relevância da língua portuguesa para ampliar a utilização dos recursos por uma comunidade alargada de utilizadores, maioritariamente falantes do </w:t>
      </w:r>
      <w:r w:rsidR="00E93947" w:rsidRPr="00976546">
        <w:rPr>
          <w:sz w:val="22"/>
          <w:szCs w:val="22"/>
          <w:lang w:val="pt-PT"/>
        </w:rPr>
        <w:t>português</w:t>
      </w:r>
      <w:r w:rsidRPr="00976546">
        <w:rPr>
          <w:sz w:val="22"/>
          <w:szCs w:val="22"/>
          <w:lang w:val="pt-PT"/>
        </w:rPr>
        <w:t>.</w:t>
      </w:r>
    </w:p>
    <w:p w14:paraId="5D2E824F" w14:textId="31C109EA" w:rsidR="00C14753" w:rsidRPr="00C14753" w:rsidRDefault="00C14753" w:rsidP="00C14753">
      <w:pPr>
        <w:jc w:val="center"/>
        <w:rPr>
          <w:sz w:val="16"/>
          <w:szCs w:val="16"/>
          <w:lang w:val="pt-PT"/>
        </w:rPr>
      </w:pPr>
      <w:r w:rsidRPr="00C14753">
        <w:rPr>
          <w:b/>
          <w:sz w:val="16"/>
          <w:szCs w:val="16"/>
          <w:lang w:val="pt-PT"/>
        </w:rPr>
        <w:t>Quadro 1</w:t>
      </w:r>
      <w:r w:rsidRPr="00C14753">
        <w:rPr>
          <w:sz w:val="16"/>
          <w:szCs w:val="16"/>
          <w:lang w:val="pt-PT"/>
        </w:rPr>
        <w:t>: Evolução dos downloads de REA pelos 4 primeiros países (Brasil, Portugal, Angola e Moçambique).</w:t>
      </w:r>
    </w:p>
    <w:p w14:paraId="55A636E4" w14:textId="77777777" w:rsidR="00C14753" w:rsidRPr="00352A91" w:rsidRDefault="00C14753" w:rsidP="00C14753">
      <w:pPr>
        <w:jc w:val="center"/>
        <w:rPr>
          <w:sz w:val="18"/>
          <w:szCs w:val="18"/>
          <w:lang w:val="pt-PT"/>
        </w:rPr>
      </w:pPr>
    </w:p>
    <w:tbl>
      <w:tblPr>
        <w:tblW w:w="58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8"/>
        <w:gridCol w:w="870"/>
        <w:gridCol w:w="870"/>
        <w:gridCol w:w="821"/>
        <w:gridCol w:w="1119"/>
        <w:gridCol w:w="768"/>
      </w:tblGrid>
      <w:tr w:rsidR="00C14753" w:rsidRPr="00C14753" w14:paraId="6CA5BC4A" w14:textId="77777777" w:rsidTr="00C14753">
        <w:trPr>
          <w:trHeight w:val="264"/>
          <w:jc w:val="center"/>
        </w:trPr>
        <w:tc>
          <w:tcPr>
            <w:tcW w:w="1418" w:type="dxa"/>
            <w:shd w:val="clear" w:color="auto" w:fill="D9D9D9" w:themeFill="background1" w:themeFillShade="D9"/>
            <w:noWrap/>
            <w:vAlign w:val="bottom"/>
            <w:hideMark/>
          </w:tcPr>
          <w:p w14:paraId="2139B654" w14:textId="02F9C585" w:rsidR="00C14753" w:rsidRPr="00C14753" w:rsidRDefault="00C14753" w:rsidP="00C14753">
            <w:pPr>
              <w:jc w:val="center"/>
              <w:rPr>
                <w:b/>
                <w:sz w:val="18"/>
                <w:szCs w:val="18"/>
                <w:lang w:val="pt-PT"/>
              </w:rPr>
            </w:pPr>
            <w:r w:rsidRPr="00C14753">
              <w:rPr>
                <w:b/>
                <w:sz w:val="18"/>
                <w:szCs w:val="18"/>
                <w:lang w:val="pt-PT"/>
              </w:rPr>
              <w:t>ANO</w:t>
            </w:r>
          </w:p>
        </w:tc>
        <w:tc>
          <w:tcPr>
            <w:tcW w:w="870" w:type="dxa"/>
            <w:shd w:val="clear" w:color="auto" w:fill="D9D9D9" w:themeFill="background1" w:themeFillShade="D9"/>
            <w:noWrap/>
            <w:vAlign w:val="bottom"/>
            <w:hideMark/>
          </w:tcPr>
          <w:p w14:paraId="3E148583" w14:textId="23E43BC2" w:rsidR="00C14753" w:rsidRPr="00C14753" w:rsidRDefault="00C14753" w:rsidP="00C14753">
            <w:pPr>
              <w:jc w:val="center"/>
              <w:rPr>
                <w:b/>
                <w:sz w:val="18"/>
                <w:szCs w:val="18"/>
                <w:lang w:val="pt-PT"/>
              </w:rPr>
            </w:pPr>
            <w:r w:rsidRPr="00C14753">
              <w:rPr>
                <w:b/>
                <w:sz w:val="18"/>
                <w:szCs w:val="18"/>
                <w:lang w:val="pt-PT"/>
              </w:rPr>
              <w:t>2018</w:t>
            </w:r>
          </w:p>
        </w:tc>
        <w:tc>
          <w:tcPr>
            <w:tcW w:w="870" w:type="dxa"/>
            <w:shd w:val="clear" w:color="auto" w:fill="D9D9D9" w:themeFill="background1" w:themeFillShade="D9"/>
            <w:noWrap/>
            <w:vAlign w:val="bottom"/>
            <w:hideMark/>
          </w:tcPr>
          <w:p w14:paraId="3452D9FE" w14:textId="5C4F00D0" w:rsidR="00C14753" w:rsidRPr="00C14753" w:rsidRDefault="00C14753" w:rsidP="00C14753">
            <w:pPr>
              <w:jc w:val="center"/>
              <w:rPr>
                <w:b/>
                <w:sz w:val="18"/>
                <w:szCs w:val="18"/>
                <w:lang w:val="pt-PT"/>
              </w:rPr>
            </w:pPr>
            <w:r w:rsidRPr="00C14753">
              <w:rPr>
                <w:b/>
                <w:sz w:val="18"/>
                <w:szCs w:val="18"/>
                <w:lang w:val="pt-PT"/>
              </w:rPr>
              <w:t>2019</w:t>
            </w:r>
          </w:p>
        </w:tc>
        <w:tc>
          <w:tcPr>
            <w:tcW w:w="821" w:type="dxa"/>
            <w:shd w:val="clear" w:color="auto" w:fill="D9D9D9" w:themeFill="background1" w:themeFillShade="D9"/>
            <w:noWrap/>
            <w:vAlign w:val="bottom"/>
            <w:hideMark/>
          </w:tcPr>
          <w:p w14:paraId="6981B239" w14:textId="201771F8" w:rsidR="00C14753" w:rsidRPr="00C14753" w:rsidRDefault="00C14753" w:rsidP="00C14753">
            <w:pPr>
              <w:jc w:val="center"/>
              <w:rPr>
                <w:b/>
                <w:sz w:val="18"/>
                <w:szCs w:val="18"/>
                <w:lang w:val="pt-PT"/>
              </w:rPr>
            </w:pPr>
            <w:r w:rsidRPr="00C14753">
              <w:rPr>
                <w:b/>
                <w:sz w:val="18"/>
                <w:szCs w:val="18"/>
                <w:lang w:val="pt-PT"/>
              </w:rPr>
              <w:t>2020</w:t>
            </w:r>
          </w:p>
        </w:tc>
        <w:tc>
          <w:tcPr>
            <w:tcW w:w="1119" w:type="dxa"/>
            <w:shd w:val="clear" w:color="auto" w:fill="D9D9D9" w:themeFill="background1" w:themeFillShade="D9"/>
            <w:noWrap/>
            <w:vAlign w:val="bottom"/>
            <w:hideMark/>
          </w:tcPr>
          <w:p w14:paraId="2F9F2374" w14:textId="7547004C" w:rsidR="00C14753" w:rsidRPr="00C14753" w:rsidRDefault="00C14753" w:rsidP="00C14753">
            <w:pPr>
              <w:jc w:val="center"/>
              <w:rPr>
                <w:b/>
                <w:sz w:val="18"/>
                <w:szCs w:val="18"/>
                <w:lang w:val="pt-PT"/>
              </w:rPr>
            </w:pPr>
            <w:r w:rsidRPr="00C14753">
              <w:rPr>
                <w:b/>
                <w:sz w:val="18"/>
                <w:szCs w:val="18"/>
                <w:lang w:val="pt-PT"/>
              </w:rPr>
              <w:t>2021</w:t>
            </w:r>
          </w:p>
        </w:tc>
        <w:tc>
          <w:tcPr>
            <w:tcW w:w="768" w:type="dxa"/>
            <w:shd w:val="clear" w:color="auto" w:fill="D9D9D9" w:themeFill="background1" w:themeFillShade="D9"/>
          </w:tcPr>
          <w:p w14:paraId="071FDE74" w14:textId="3FE36A1B" w:rsidR="00C14753" w:rsidRPr="00C14753" w:rsidRDefault="00C14753" w:rsidP="00C14753">
            <w:pPr>
              <w:jc w:val="center"/>
              <w:rPr>
                <w:b/>
                <w:sz w:val="18"/>
                <w:szCs w:val="18"/>
                <w:lang w:val="pt-PT"/>
              </w:rPr>
            </w:pPr>
          </w:p>
        </w:tc>
      </w:tr>
      <w:tr w:rsidR="00C14753" w:rsidRPr="00C14753" w14:paraId="581B95DD" w14:textId="77777777" w:rsidTr="00C14753">
        <w:trPr>
          <w:trHeight w:val="264"/>
          <w:jc w:val="center"/>
        </w:trPr>
        <w:tc>
          <w:tcPr>
            <w:tcW w:w="1418" w:type="dxa"/>
            <w:shd w:val="clear" w:color="auto" w:fill="auto"/>
            <w:noWrap/>
            <w:vAlign w:val="bottom"/>
          </w:tcPr>
          <w:p w14:paraId="70D43B04" w14:textId="77777777" w:rsidR="00C14753" w:rsidRPr="00C14753" w:rsidRDefault="00C14753" w:rsidP="00C14753">
            <w:pPr>
              <w:jc w:val="center"/>
              <w:rPr>
                <w:b/>
                <w:sz w:val="18"/>
                <w:szCs w:val="18"/>
                <w:lang w:val="pt-PT"/>
              </w:rPr>
            </w:pPr>
            <w:r w:rsidRPr="00C14753">
              <w:rPr>
                <w:b/>
                <w:sz w:val="18"/>
                <w:szCs w:val="18"/>
                <w:lang w:val="pt-PT"/>
              </w:rPr>
              <w:t>TOTAL</w:t>
            </w:r>
          </w:p>
        </w:tc>
        <w:tc>
          <w:tcPr>
            <w:tcW w:w="870" w:type="dxa"/>
            <w:shd w:val="clear" w:color="auto" w:fill="auto"/>
            <w:noWrap/>
            <w:vAlign w:val="bottom"/>
          </w:tcPr>
          <w:p w14:paraId="18E90762" w14:textId="77777777" w:rsidR="00C14753" w:rsidRPr="00C14753" w:rsidRDefault="00C14753" w:rsidP="00C14753">
            <w:pPr>
              <w:jc w:val="center"/>
              <w:rPr>
                <w:bCs/>
                <w:sz w:val="18"/>
                <w:szCs w:val="18"/>
                <w:lang w:val="pt-PT"/>
              </w:rPr>
            </w:pPr>
            <w:r w:rsidRPr="00C14753">
              <w:rPr>
                <w:bCs/>
                <w:sz w:val="18"/>
                <w:szCs w:val="18"/>
                <w:lang w:val="pt-PT"/>
              </w:rPr>
              <w:t>161320</w:t>
            </w:r>
          </w:p>
        </w:tc>
        <w:tc>
          <w:tcPr>
            <w:tcW w:w="870" w:type="dxa"/>
            <w:shd w:val="clear" w:color="auto" w:fill="auto"/>
            <w:noWrap/>
            <w:vAlign w:val="bottom"/>
          </w:tcPr>
          <w:p w14:paraId="3ECD090D" w14:textId="77777777" w:rsidR="00C14753" w:rsidRPr="00C14753" w:rsidRDefault="00C14753" w:rsidP="00C14753">
            <w:pPr>
              <w:jc w:val="center"/>
              <w:rPr>
                <w:bCs/>
                <w:sz w:val="18"/>
                <w:szCs w:val="18"/>
                <w:lang w:val="pt-PT"/>
              </w:rPr>
            </w:pPr>
            <w:r w:rsidRPr="00C14753">
              <w:rPr>
                <w:bCs/>
                <w:sz w:val="18"/>
                <w:szCs w:val="18"/>
                <w:lang w:val="pt-PT"/>
              </w:rPr>
              <w:t>207984</w:t>
            </w:r>
          </w:p>
        </w:tc>
        <w:tc>
          <w:tcPr>
            <w:tcW w:w="821" w:type="dxa"/>
            <w:shd w:val="clear" w:color="auto" w:fill="auto"/>
            <w:noWrap/>
            <w:vAlign w:val="bottom"/>
          </w:tcPr>
          <w:p w14:paraId="5AE11861" w14:textId="77777777" w:rsidR="00C14753" w:rsidRPr="00C14753" w:rsidRDefault="00C14753" w:rsidP="00C14753">
            <w:pPr>
              <w:jc w:val="center"/>
              <w:rPr>
                <w:bCs/>
                <w:sz w:val="18"/>
                <w:szCs w:val="18"/>
                <w:lang w:val="pt-PT"/>
              </w:rPr>
            </w:pPr>
            <w:r w:rsidRPr="00C14753">
              <w:rPr>
                <w:bCs/>
                <w:sz w:val="18"/>
                <w:szCs w:val="18"/>
                <w:lang w:val="pt-PT"/>
              </w:rPr>
              <w:t>229236</w:t>
            </w:r>
          </w:p>
        </w:tc>
        <w:tc>
          <w:tcPr>
            <w:tcW w:w="1119" w:type="dxa"/>
            <w:shd w:val="clear" w:color="auto" w:fill="auto"/>
            <w:noWrap/>
            <w:vAlign w:val="bottom"/>
          </w:tcPr>
          <w:p w14:paraId="08712738" w14:textId="77777777" w:rsidR="00C14753" w:rsidRPr="00C14753" w:rsidRDefault="00C14753" w:rsidP="00C14753">
            <w:pPr>
              <w:jc w:val="center"/>
              <w:rPr>
                <w:bCs/>
                <w:sz w:val="18"/>
                <w:szCs w:val="18"/>
                <w:lang w:val="pt-PT"/>
              </w:rPr>
            </w:pPr>
            <w:r w:rsidRPr="00C14753">
              <w:rPr>
                <w:bCs/>
                <w:sz w:val="18"/>
                <w:szCs w:val="18"/>
                <w:lang w:val="pt-PT"/>
              </w:rPr>
              <w:t>263662</w:t>
            </w:r>
          </w:p>
        </w:tc>
        <w:tc>
          <w:tcPr>
            <w:tcW w:w="768" w:type="dxa"/>
          </w:tcPr>
          <w:p w14:paraId="7D0157AE" w14:textId="77777777" w:rsidR="00C14753" w:rsidRDefault="00C14753" w:rsidP="00C14753">
            <w:pPr>
              <w:jc w:val="center"/>
              <w:rPr>
                <w:b/>
                <w:sz w:val="18"/>
                <w:szCs w:val="18"/>
                <w:lang w:val="pt-PT"/>
              </w:rPr>
            </w:pPr>
          </w:p>
          <w:p w14:paraId="77FA4AFC" w14:textId="645DC953" w:rsidR="00C14753" w:rsidRPr="00C14753" w:rsidRDefault="00C14753" w:rsidP="00C14753">
            <w:pPr>
              <w:jc w:val="center"/>
              <w:rPr>
                <w:b/>
                <w:sz w:val="18"/>
                <w:szCs w:val="18"/>
                <w:lang w:val="pt-PT"/>
              </w:rPr>
            </w:pPr>
            <w:r w:rsidRPr="00C14753">
              <w:rPr>
                <w:b/>
                <w:sz w:val="18"/>
                <w:szCs w:val="18"/>
                <w:lang w:val="pt-PT"/>
              </w:rPr>
              <w:t>862202</w:t>
            </w:r>
          </w:p>
        </w:tc>
      </w:tr>
    </w:tbl>
    <w:p w14:paraId="11BE12C6" w14:textId="39E7D0F2" w:rsidR="00E93947" w:rsidRDefault="00E93947" w:rsidP="00976546">
      <w:pPr>
        <w:spacing w:after="120" w:line="276" w:lineRule="auto"/>
        <w:jc w:val="both"/>
        <w:rPr>
          <w:sz w:val="22"/>
          <w:szCs w:val="22"/>
          <w:lang w:val="pt-PT"/>
        </w:rPr>
      </w:pPr>
    </w:p>
    <w:p w14:paraId="0D479747" w14:textId="61C2D4AF" w:rsidR="00C14753" w:rsidRDefault="0090583F" w:rsidP="00976546">
      <w:pPr>
        <w:spacing w:after="120" w:line="276" w:lineRule="auto"/>
        <w:jc w:val="both"/>
        <w:rPr>
          <w:color w:val="FF0000"/>
          <w:sz w:val="22"/>
          <w:szCs w:val="22"/>
          <w:lang w:val="pt-PT"/>
        </w:rPr>
      </w:pPr>
      <w:r>
        <w:rPr>
          <w:sz w:val="22"/>
          <w:szCs w:val="22"/>
          <w:lang w:val="pt-PT"/>
        </w:rPr>
        <w:t xml:space="preserve">Analisando </w:t>
      </w:r>
      <w:r w:rsidRPr="0090583F">
        <w:rPr>
          <w:sz w:val="22"/>
          <w:szCs w:val="22"/>
          <w:lang w:val="pt-PT"/>
        </w:rPr>
        <w:t xml:space="preserve">o número de depósitos ao longo dos quatro anos em </w:t>
      </w:r>
      <w:r>
        <w:rPr>
          <w:sz w:val="22"/>
          <w:szCs w:val="22"/>
          <w:lang w:val="pt-PT"/>
        </w:rPr>
        <w:t>estudo</w:t>
      </w:r>
      <w:r w:rsidRPr="0090583F">
        <w:rPr>
          <w:sz w:val="22"/>
          <w:szCs w:val="22"/>
          <w:lang w:val="pt-PT"/>
        </w:rPr>
        <w:t>, verificamos um aumento do número de publicações depositadas no repositório entre 2018 e 2019 (Gráfico 1). Durante os dois anos afetados pela pandemia, ocorreu uma leve queda. Isso pode ser explicado</w:t>
      </w:r>
      <w:r w:rsidRPr="000323CF">
        <w:rPr>
          <w:sz w:val="22"/>
          <w:szCs w:val="22"/>
          <w:lang w:val="pt-PT"/>
        </w:rPr>
        <w:t xml:space="preserve">, em parte, pelos </w:t>
      </w:r>
      <w:r w:rsidRPr="0090583F">
        <w:rPr>
          <w:sz w:val="22"/>
          <w:szCs w:val="22"/>
          <w:lang w:val="pt-PT"/>
        </w:rPr>
        <w:t xml:space="preserve">períodos de </w:t>
      </w:r>
      <w:r>
        <w:rPr>
          <w:sz w:val="22"/>
          <w:szCs w:val="22"/>
          <w:lang w:val="pt-PT"/>
        </w:rPr>
        <w:lastRenderedPageBreak/>
        <w:t>confinamento</w:t>
      </w:r>
      <w:r w:rsidRPr="0090583F">
        <w:rPr>
          <w:sz w:val="22"/>
          <w:szCs w:val="22"/>
          <w:lang w:val="pt-PT"/>
        </w:rPr>
        <w:t xml:space="preserve">, durante os quais os funcionários </w:t>
      </w:r>
      <w:r w:rsidR="006E49FB">
        <w:rPr>
          <w:sz w:val="22"/>
          <w:szCs w:val="22"/>
          <w:lang w:val="pt-PT"/>
        </w:rPr>
        <w:t xml:space="preserve">dos Serviços de Documentação </w:t>
      </w:r>
      <w:r w:rsidRPr="0090583F">
        <w:rPr>
          <w:sz w:val="22"/>
          <w:szCs w:val="22"/>
          <w:lang w:val="pt-PT"/>
        </w:rPr>
        <w:t xml:space="preserve">não puderam trabalhar </w:t>
      </w:r>
      <w:r w:rsidRPr="000323CF">
        <w:rPr>
          <w:sz w:val="22"/>
          <w:szCs w:val="22"/>
          <w:lang w:val="pt-PT"/>
        </w:rPr>
        <w:t xml:space="preserve">regularmente. Importa referir que </w:t>
      </w:r>
      <w:r w:rsidR="006E49FB" w:rsidRPr="000323CF">
        <w:rPr>
          <w:sz w:val="22"/>
          <w:szCs w:val="22"/>
          <w:lang w:val="pt-PT"/>
        </w:rPr>
        <w:t xml:space="preserve">na UAb é </w:t>
      </w:r>
      <w:r w:rsidR="00136D5D" w:rsidRPr="000323CF">
        <w:rPr>
          <w:sz w:val="22"/>
          <w:szCs w:val="22"/>
          <w:lang w:val="pt-PT"/>
        </w:rPr>
        <w:t>à</w:t>
      </w:r>
      <w:r w:rsidR="006E49FB" w:rsidRPr="000323CF">
        <w:rPr>
          <w:sz w:val="22"/>
          <w:szCs w:val="22"/>
          <w:lang w:val="pt-PT"/>
        </w:rPr>
        <w:t xml:space="preserve"> biblioteca que compete </w:t>
      </w:r>
      <w:r w:rsidRPr="000323CF">
        <w:rPr>
          <w:sz w:val="22"/>
          <w:szCs w:val="22"/>
          <w:lang w:val="pt-PT"/>
        </w:rPr>
        <w:t xml:space="preserve">fazer a verificação dos </w:t>
      </w:r>
      <w:proofErr w:type="spellStart"/>
      <w:r w:rsidR="006E49FB" w:rsidRPr="000323CF">
        <w:rPr>
          <w:sz w:val="22"/>
          <w:szCs w:val="22"/>
          <w:lang w:val="pt-PT"/>
        </w:rPr>
        <w:t>metadados</w:t>
      </w:r>
      <w:proofErr w:type="spellEnd"/>
      <w:r w:rsidR="006E49FB" w:rsidRPr="000323CF">
        <w:rPr>
          <w:sz w:val="22"/>
          <w:szCs w:val="22"/>
          <w:lang w:val="pt-PT"/>
        </w:rPr>
        <w:t xml:space="preserve"> dos </w:t>
      </w:r>
      <w:r w:rsidRPr="000323CF">
        <w:rPr>
          <w:sz w:val="22"/>
          <w:szCs w:val="22"/>
          <w:lang w:val="pt-PT"/>
        </w:rPr>
        <w:t>depósitos efetuados</w:t>
      </w:r>
      <w:r w:rsidR="00293A65" w:rsidRPr="000323CF">
        <w:rPr>
          <w:sz w:val="22"/>
          <w:szCs w:val="22"/>
          <w:lang w:val="pt-PT"/>
        </w:rPr>
        <w:t xml:space="preserve"> </w:t>
      </w:r>
      <w:r w:rsidR="00136D5D" w:rsidRPr="000323CF">
        <w:rPr>
          <w:sz w:val="22"/>
          <w:szCs w:val="22"/>
          <w:lang w:val="pt-PT"/>
        </w:rPr>
        <w:t xml:space="preserve">pelos autores </w:t>
      </w:r>
      <w:r w:rsidR="00293A65" w:rsidRPr="000323CF">
        <w:rPr>
          <w:sz w:val="22"/>
          <w:szCs w:val="22"/>
          <w:lang w:val="pt-PT"/>
        </w:rPr>
        <w:t>em auto arquivo</w:t>
      </w:r>
      <w:r w:rsidRPr="000323CF">
        <w:rPr>
          <w:sz w:val="22"/>
          <w:szCs w:val="22"/>
          <w:lang w:val="pt-PT"/>
        </w:rPr>
        <w:t>,</w:t>
      </w:r>
      <w:r w:rsidR="00136D5D" w:rsidRPr="000323CF">
        <w:rPr>
          <w:sz w:val="22"/>
          <w:szCs w:val="22"/>
          <w:lang w:val="pt-PT"/>
        </w:rPr>
        <w:t xml:space="preserve"> </w:t>
      </w:r>
      <w:r w:rsidRPr="000323CF">
        <w:rPr>
          <w:sz w:val="22"/>
          <w:szCs w:val="22"/>
          <w:lang w:val="pt-PT"/>
        </w:rPr>
        <w:t>mas também a realização do depósito d</w:t>
      </w:r>
      <w:r w:rsidR="006E49FB" w:rsidRPr="000323CF">
        <w:rPr>
          <w:sz w:val="22"/>
          <w:szCs w:val="22"/>
          <w:lang w:val="pt-PT"/>
        </w:rPr>
        <w:t xml:space="preserve">os </w:t>
      </w:r>
      <w:r w:rsidRPr="000323CF">
        <w:rPr>
          <w:sz w:val="22"/>
          <w:szCs w:val="22"/>
          <w:lang w:val="pt-PT"/>
        </w:rPr>
        <w:t>recursos multimédia</w:t>
      </w:r>
      <w:r w:rsidR="006E49FB" w:rsidRPr="000323CF">
        <w:rPr>
          <w:sz w:val="22"/>
          <w:szCs w:val="22"/>
          <w:lang w:val="pt-PT"/>
        </w:rPr>
        <w:t xml:space="preserve"> produzidos </w:t>
      </w:r>
      <w:r w:rsidR="00136D5D" w:rsidRPr="000323CF">
        <w:rPr>
          <w:sz w:val="22"/>
          <w:szCs w:val="22"/>
          <w:lang w:val="pt-PT"/>
        </w:rPr>
        <w:t>com a chancela d</w:t>
      </w:r>
      <w:r w:rsidR="006E49FB" w:rsidRPr="000323CF">
        <w:rPr>
          <w:sz w:val="22"/>
          <w:szCs w:val="22"/>
          <w:lang w:val="pt-PT"/>
        </w:rPr>
        <w:t xml:space="preserve">a Instituição. Estes últimos </w:t>
      </w:r>
      <w:r w:rsidRPr="000323CF">
        <w:rPr>
          <w:sz w:val="22"/>
          <w:szCs w:val="22"/>
          <w:lang w:val="pt-PT"/>
        </w:rPr>
        <w:t>constitu</w:t>
      </w:r>
      <w:r w:rsidR="006E49FB" w:rsidRPr="000323CF">
        <w:rPr>
          <w:sz w:val="22"/>
          <w:szCs w:val="22"/>
          <w:lang w:val="pt-PT"/>
        </w:rPr>
        <w:t xml:space="preserve">em </w:t>
      </w:r>
      <w:r w:rsidRPr="000323CF">
        <w:rPr>
          <w:sz w:val="22"/>
          <w:szCs w:val="22"/>
          <w:lang w:val="pt-PT"/>
        </w:rPr>
        <w:t xml:space="preserve">a parte </w:t>
      </w:r>
      <w:r w:rsidR="006E49FB" w:rsidRPr="000323CF">
        <w:rPr>
          <w:sz w:val="22"/>
          <w:szCs w:val="22"/>
          <w:lang w:val="pt-PT"/>
        </w:rPr>
        <w:t xml:space="preserve">mais </w:t>
      </w:r>
      <w:r w:rsidRPr="000323CF">
        <w:rPr>
          <w:sz w:val="22"/>
          <w:szCs w:val="22"/>
          <w:lang w:val="pt-PT"/>
        </w:rPr>
        <w:t xml:space="preserve">significativa dos REA disponibilizados no </w:t>
      </w:r>
      <w:r w:rsidR="00136D5D" w:rsidRPr="000323CF">
        <w:rPr>
          <w:sz w:val="22"/>
          <w:szCs w:val="22"/>
          <w:lang w:val="pt-PT"/>
        </w:rPr>
        <w:t>RI da UAb</w:t>
      </w:r>
      <w:r w:rsidRPr="000323CF">
        <w:rPr>
          <w:sz w:val="22"/>
          <w:szCs w:val="22"/>
          <w:lang w:val="pt-PT"/>
        </w:rPr>
        <w:t>. Verificou-se, em simultâneo, uma diminuição no processo de auto</w:t>
      </w:r>
      <w:r w:rsidR="00BE657F" w:rsidRPr="000323CF">
        <w:rPr>
          <w:sz w:val="22"/>
          <w:szCs w:val="22"/>
          <w:lang w:val="pt-PT"/>
        </w:rPr>
        <w:t xml:space="preserve"> </w:t>
      </w:r>
      <w:r w:rsidRPr="000323CF">
        <w:rPr>
          <w:sz w:val="22"/>
          <w:szCs w:val="22"/>
          <w:lang w:val="pt-PT"/>
        </w:rPr>
        <w:t>arquivo por parte dos docentes.</w:t>
      </w:r>
    </w:p>
    <w:p w14:paraId="6EB72E84" w14:textId="071E5EC6" w:rsidR="0090583F" w:rsidRPr="0090583F" w:rsidRDefault="0090583F" w:rsidP="0090583F">
      <w:pPr>
        <w:spacing w:before="240" w:after="120" w:line="276" w:lineRule="auto"/>
        <w:jc w:val="center"/>
        <w:rPr>
          <w:sz w:val="16"/>
          <w:szCs w:val="16"/>
          <w:lang w:val="pt-PT"/>
        </w:rPr>
      </w:pPr>
      <w:bookmarkStart w:id="1" w:name="_Hlk126178623"/>
      <w:r w:rsidRPr="0090583F">
        <w:rPr>
          <w:b/>
          <w:bCs/>
          <w:sz w:val="16"/>
          <w:szCs w:val="16"/>
          <w:lang w:val="pt-PT"/>
        </w:rPr>
        <w:t>Gráfico 1:</w:t>
      </w:r>
      <w:r w:rsidRPr="0090583F">
        <w:rPr>
          <w:sz w:val="16"/>
          <w:szCs w:val="16"/>
          <w:lang w:val="pt-PT"/>
        </w:rPr>
        <w:t xml:space="preserve"> Evolução dos depósitos de REA nos 4 anos analisados</w:t>
      </w:r>
      <w:bookmarkEnd w:id="1"/>
      <w:r w:rsidRPr="0090583F">
        <w:rPr>
          <w:sz w:val="16"/>
          <w:szCs w:val="16"/>
          <w:lang w:val="pt-PT"/>
        </w:rPr>
        <w:t>.</w:t>
      </w:r>
    </w:p>
    <w:p w14:paraId="7643085E" w14:textId="617F550E" w:rsidR="00E93947" w:rsidRDefault="00E93947" w:rsidP="0090583F">
      <w:pPr>
        <w:spacing w:after="120" w:line="276" w:lineRule="auto"/>
        <w:jc w:val="center"/>
        <w:rPr>
          <w:sz w:val="22"/>
          <w:szCs w:val="22"/>
          <w:lang w:val="pt-PT"/>
        </w:rPr>
      </w:pPr>
      <w:r>
        <w:rPr>
          <w:noProof/>
        </w:rPr>
        <w:drawing>
          <wp:inline distT="0" distB="0" distL="0" distR="0" wp14:anchorId="04E7D6CB" wp14:editId="5662F22E">
            <wp:extent cx="3525397" cy="1669055"/>
            <wp:effectExtent l="0" t="0" r="18415" b="7620"/>
            <wp:docPr id="1" name="Gráfico 1">
              <a:extLst xmlns:a="http://schemas.openxmlformats.org/drawingml/2006/main">
                <a:ext uri="{FF2B5EF4-FFF2-40B4-BE49-F238E27FC236}">
                  <a16:creationId xmlns:a16="http://schemas.microsoft.com/office/drawing/2014/main" id="{FBB2120E-225B-44F3-9994-FA30CF6A6B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3FE8687" w14:textId="46A49546" w:rsidR="00B35761" w:rsidRPr="000323CF" w:rsidRDefault="0090583F" w:rsidP="00B35761">
      <w:pPr>
        <w:spacing w:after="120" w:line="276" w:lineRule="auto"/>
        <w:jc w:val="both"/>
        <w:rPr>
          <w:sz w:val="22"/>
          <w:szCs w:val="22"/>
          <w:lang w:val="pt-PT"/>
        </w:rPr>
      </w:pPr>
      <w:r w:rsidRPr="000323CF">
        <w:rPr>
          <w:sz w:val="22"/>
          <w:szCs w:val="22"/>
          <w:lang w:val="pt-PT"/>
        </w:rPr>
        <w:t>Por outro lado, pode verificar</w:t>
      </w:r>
      <w:r w:rsidR="000323CF">
        <w:rPr>
          <w:sz w:val="22"/>
          <w:szCs w:val="22"/>
          <w:lang w:val="pt-PT"/>
        </w:rPr>
        <w:t>-se</w:t>
      </w:r>
      <w:r w:rsidRPr="000323CF">
        <w:rPr>
          <w:sz w:val="22"/>
          <w:szCs w:val="22"/>
          <w:lang w:val="pt-PT"/>
        </w:rPr>
        <w:t xml:space="preserve"> que </w:t>
      </w:r>
      <w:r w:rsidR="006E49FB" w:rsidRPr="000323CF">
        <w:rPr>
          <w:sz w:val="22"/>
          <w:szCs w:val="22"/>
          <w:lang w:val="pt-PT"/>
        </w:rPr>
        <w:t xml:space="preserve">relativamente ao número de </w:t>
      </w:r>
      <w:r w:rsidR="006E49FB" w:rsidRPr="000323CF">
        <w:rPr>
          <w:i/>
          <w:iCs/>
          <w:sz w:val="22"/>
          <w:szCs w:val="22"/>
          <w:lang w:val="pt-PT"/>
        </w:rPr>
        <w:t>downloads</w:t>
      </w:r>
      <w:r w:rsidR="006E49FB" w:rsidRPr="000323CF">
        <w:rPr>
          <w:sz w:val="22"/>
          <w:szCs w:val="22"/>
          <w:lang w:val="pt-PT"/>
        </w:rPr>
        <w:t xml:space="preserve"> de REA, </w:t>
      </w:r>
      <w:r w:rsidRPr="000323CF">
        <w:rPr>
          <w:sz w:val="22"/>
          <w:szCs w:val="22"/>
          <w:lang w:val="pt-PT"/>
        </w:rPr>
        <w:t xml:space="preserve">o fator “pandemia” atuou em sentido inverso, </w:t>
      </w:r>
      <w:r w:rsidR="006E49FB" w:rsidRPr="000323CF">
        <w:rPr>
          <w:sz w:val="22"/>
          <w:szCs w:val="22"/>
          <w:lang w:val="pt-PT"/>
        </w:rPr>
        <w:t xml:space="preserve">pois estes </w:t>
      </w:r>
      <w:r w:rsidRPr="000323CF">
        <w:rPr>
          <w:sz w:val="22"/>
          <w:szCs w:val="22"/>
          <w:lang w:val="pt-PT"/>
        </w:rPr>
        <w:t>foram subindo progressivamente</w:t>
      </w:r>
      <w:r w:rsidR="00B35761" w:rsidRPr="000323CF">
        <w:rPr>
          <w:sz w:val="22"/>
          <w:szCs w:val="22"/>
          <w:lang w:val="pt-PT"/>
        </w:rPr>
        <w:t xml:space="preserve">, e de forma mais acentuada de 2020 para 2021 (Gráfico 2). </w:t>
      </w:r>
      <w:r w:rsidR="000323CF">
        <w:rPr>
          <w:sz w:val="22"/>
          <w:szCs w:val="22"/>
          <w:lang w:val="pt-PT"/>
        </w:rPr>
        <w:t xml:space="preserve">É lícito afirmar-se que </w:t>
      </w:r>
      <w:r w:rsidR="007D1583" w:rsidRPr="000323CF">
        <w:rPr>
          <w:sz w:val="22"/>
          <w:szCs w:val="22"/>
          <w:lang w:val="pt-PT"/>
        </w:rPr>
        <w:t xml:space="preserve">o interesse da comunidade educativa pelos REA disponibilizados no RI da UAb cresceu mais rapidamente, por comparação com o número de novos REA disponibilizados no mesmo período. </w:t>
      </w:r>
    </w:p>
    <w:p w14:paraId="6BE13B37" w14:textId="05CAA4FE" w:rsidR="0090583F" w:rsidRDefault="00B35761" w:rsidP="00B35761">
      <w:pPr>
        <w:spacing w:after="120" w:line="276" w:lineRule="auto"/>
        <w:jc w:val="center"/>
        <w:rPr>
          <w:sz w:val="22"/>
          <w:szCs w:val="22"/>
          <w:lang w:val="pt-PT"/>
        </w:rPr>
      </w:pPr>
      <w:r w:rsidRPr="0090583F">
        <w:rPr>
          <w:b/>
          <w:bCs/>
          <w:sz w:val="16"/>
          <w:szCs w:val="16"/>
          <w:lang w:val="pt-PT"/>
        </w:rPr>
        <w:t xml:space="preserve">Gráfico </w:t>
      </w:r>
      <w:r>
        <w:rPr>
          <w:b/>
          <w:bCs/>
          <w:sz w:val="16"/>
          <w:szCs w:val="16"/>
          <w:lang w:val="pt-PT"/>
        </w:rPr>
        <w:t>2</w:t>
      </w:r>
      <w:r w:rsidRPr="0090583F">
        <w:rPr>
          <w:b/>
          <w:bCs/>
          <w:sz w:val="16"/>
          <w:szCs w:val="16"/>
          <w:lang w:val="pt-PT"/>
        </w:rPr>
        <w:t>:</w:t>
      </w:r>
      <w:r w:rsidRPr="0090583F">
        <w:rPr>
          <w:sz w:val="16"/>
          <w:szCs w:val="16"/>
          <w:lang w:val="pt-PT"/>
        </w:rPr>
        <w:t xml:space="preserve"> Evolução dos </w:t>
      </w:r>
      <w:r>
        <w:rPr>
          <w:sz w:val="16"/>
          <w:szCs w:val="16"/>
          <w:lang w:val="pt-PT"/>
        </w:rPr>
        <w:t xml:space="preserve">downloads de </w:t>
      </w:r>
      <w:r w:rsidRPr="0090583F">
        <w:rPr>
          <w:sz w:val="16"/>
          <w:szCs w:val="16"/>
          <w:lang w:val="pt-PT"/>
        </w:rPr>
        <w:t>REA nos 4 anos analisados</w:t>
      </w:r>
      <w:r>
        <w:rPr>
          <w:sz w:val="16"/>
          <w:szCs w:val="16"/>
          <w:lang w:val="pt-PT"/>
        </w:rPr>
        <w:t>.</w:t>
      </w:r>
    </w:p>
    <w:p w14:paraId="48D87334" w14:textId="4EF26097" w:rsidR="00E93947" w:rsidRDefault="00E93947" w:rsidP="00B35761">
      <w:pPr>
        <w:spacing w:after="120" w:line="276" w:lineRule="auto"/>
        <w:jc w:val="center"/>
        <w:rPr>
          <w:sz w:val="22"/>
          <w:szCs w:val="22"/>
          <w:lang w:val="pt-PT"/>
        </w:rPr>
      </w:pPr>
      <w:r>
        <w:rPr>
          <w:noProof/>
        </w:rPr>
        <w:drawing>
          <wp:inline distT="0" distB="0" distL="0" distR="0" wp14:anchorId="437061AA" wp14:editId="1D447395">
            <wp:extent cx="3665128" cy="2151778"/>
            <wp:effectExtent l="0" t="0" r="12065" b="1270"/>
            <wp:docPr id="4" name="Gráfico 4">
              <a:extLst xmlns:a="http://schemas.openxmlformats.org/drawingml/2006/main">
                <a:ext uri="{FF2B5EF4-FFF2-40B4-BE49-F238E27FC236}">
                  <a16:creationId xmlns:a16="http://schemas.microsoft.com/office/drawing/2014/main" id="{00814EBA-443C-4663-9434-488892CAD0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34FD93C" w14:textId="2643F832" w:rsidR="006E49FB" w:rsidRDefault="00976546" w:rsidP="006E49FB">
      <w:pPr>
        <w:spacing w:after="120" w:line="276" w:lineRule="auto"/>
        <w:jc w:val="both"/>
        <w:rPr>
          <w:sz w:val="22"/>
          <w:szCs w:val="22"/>
          <w:lang w:val="pt-PT"/>
        </w:rPr>
      </w:pPr>
      <w:r w:rsidRPr="00976546">
        <w:rPr>
          <w:sz w:val="22"/>
          <w:szCs w:val="22"/>
          <w:lang w:val="pt-PT"/>
        </w:rPr>
        <w:t xml:space="preserve">Neste contexto, confirma-se a importância </w:t>
      </w:r>
      <w:r w:rsidR="00136D5D" w:rsidRPr="000323CF">
        <w:rPr>
          <w:sz w:val="22"/>
          <w:szCs w:val="22"/>
          <w:lang w:val="pt-PT"/>
        </w:rPr>
        <w:t xml:space="preserve">da implementação </w:t>
      </w:r>
      <w:r w:rsidRPr="000323CF">
        <w:rPr>
          <w:sz w:val="22"/>
          <w:szCs w:val="22"/>
          <w:lang w:val="pt-PT"/>
        </w:rPr>
        <w:t xml:space="preserve">deste </w:t>
      </w:r>
      <w:r w:rsidRPr="00976546">
        <w:rPr>
          <w:sz w:val="22"/>
          <w:szCs w:val="22"/>
          <w:lang w:val="pt-PT"/>
        </w:rPr>
        <w:t xml:space="preserve">tipo de práticas colaborativas, com a disseminação e disponibilização de recursos </w:t>
      </w:r>
      <w:r w:rsidR="00136D5D">
        <w:rPr>
          <w:sz w:val="22"/>
          <w:szCs w:val="22"/>
          <w:lang w:val="pt-PT"/>
        </w:rPr>
        <w:t xml:space="preserve">educacionais </w:t>
      </w:r>
      <w:r w:rsidRPr="00976546">
        <w:rPr>
          <w:sz w:val="22"/>
          <w:szCs w:val="22"/>
          <w:lang w:val="pt-PT"/>
        </w:rPr>
        <w:t>abertos validados, cumprindo assim a UAb um importante papel educativo e social.</w:t>
      </w:r>
      <w:r w:rsidR="007D1583" w:rsidRPr="007D1583">
        <w:rPr>
          <w:lang w:val="pt-PT"/>
        </w:rPr>
        <w:t xml:space="preserve"> </w:t>
      </w:r>
      <w:r w:rsidR="006E49FB" w:rsidRPr="007D1583">
        <w:rPr>
          <w:sz w:val="22"/>
          <w:szCs w:val="22"/>
          <w:lang w:val="pt-PT"/>
        </w:rPr>
        <w:t>Sublinhe-se que</w:t>
      </w:r>
      <w:r w:rsidR="006E49FB">
        <w:rPr>
          <w:sz w:val="22"/>
          <w:szCs w:val="22"/>
          <w:lang w:val="pt-PT"/>
        </w:rPr>
        <w:t>,</w:t>
      </w:r>
      <w:r w:rsidR="006E49FB" w:rsidRPr="007D1583">
        <w:rPr>
          <w:sz w:val="22"/>
          <w:szCs w:val="22"/>
          <w:lang w:val="pt-PT"/>
        </w:rPr>
        <w:t xml:space="preserve"> em especial no caso dos REA, a UAb assume o cumprimento de um conjunto de procedimentos, em termos de articulação interna entre serviços (Bastos e Carvalho, 2019), como na aplicação de referenciais e normativos técnicos na descrição dos documentos</w:t>
      </w:r>
      <w:r w:rsidR="006E49FB">
        <w:rPr>
          <w:sz w:val="22"/>
          <w:szCs w:val="22"/>
          <w:lang w:val="pt-PT"/>
        </w:rPr>
        <w:t xml:space="preserve"> </w:t>
      </w:r>
      <w:r w:rsidR="006E49FB" w:rsidRPr="007D1583">
        <w:rPr>
          <w:sz w:val="22"/>
          <w:szCs w:val="22"/>
          <w:lang w:val="pt-PT"/>
        </w:rPr>
        <w:t>de modo a facilitar a identificação, salvaguarda e preservação e a reutilização dos recursos</w:t>
      </w:r>
      <w:r w:rsidR="006E49FB">
        <w:rPr>
          <w:sz w:val="22"/>
          <w:szCs w:val="22"/>
          <w:lang w:val="pt-PT"/>
        </w:rPr>
        <w:t>,</w:t>
      </w:r>
      <w:r w:rsidR="006E49FB" w:rsidRPr="006E49FB">
        <w:rPr>
          <w:sz w:val="22"/>
          <w:szCs w:val="22"/>
          <w:lang w:val="pt-PT"/>
        </w:rPr>
        <w:t xml:space="preserve"> </w:t>
      </w:r>
      <w:r w:rsidR="006E49FB" w:rsidRPr="007D1583">
        <w:rPr>
          <w:sz w:val="22"/>
          <w:szCs w:val="22"/>
          <w:lang w:val="pt-PT"/>
        </w:rPr>
        <w:t xml:space="preserve">mas também garantir a qualidade </w:t>
      </w:r>
      <w:r w:rsidR="006E49FB">
        <w:rPr>
          <w:sz w:val="22"/>
          <w:szCs w:val="22"/>
          <w:lang w:val="pt-PT"/>
        </w:rPr>
        <w:t xml:space="preserve">e </w:t>
      </w:r>
      <w:r w:rsidR="006E49FB" w:rsidRPr="007D1583">
        <w:rPr>
          <w:sz w:val="22"/>
          <w:szCs w:val="22"/>
          <w:lang w:val="pt-PT"/>
        </w:rPr>
        <w:t>a confiança dos utilizadores n</w:t>
      </w:r>
      <w:r w:rsidR="00136D5D">
        <w:rPr>
          <w:sz w:val="22"/>
          <w:szCs w:val="22"/>
          <w:lang w:val="pt-PT"/>
        </w:rPr>
        <w:t>a sua (</w:t>
      </w:r>
      <w:proofErr w:type="spellStart"/>
      <w:r w:rsidR="00136D5D">
        <w:rPr>
          <w:sz w:val="22"/>
          <w:szCs w:val="22"/>
          <w:lang w:val="pt-PT"/>
        </w:rPr>
        <w:t>re</w:t>
      </w:r>
      <w:proofErr w:type="spellEnd"/>
      <w:r w:rsidR="00136D5D">
        <w:rPr>
          <w:sz w:val="22"/>
          <w:szCs w:val="22"/>
          <w:lang w:val="pt-PT"/>
        </w:rPr>
        <w:t>)utilização</w:t>
      </w:r>
      <w:r w:rsidR="006E49FB" w:rsidRPr="007D1583">
        <w:rPr>
          <w:sz w:val="22"/>
          <w:szCs w:val="22"/>
          <w:lang w:val="pt-PT"/>
        </w:rPr>
        <w:t>.</w:t>
      </w:r>
    </w:p>
    <w:p w14:paraId="00000091" w14:textId="77777777" w:rsidR="00F831B7" w:rsidRPr="00352A91" w:rsidRDefault="00F831B7">
      <w:pPr>
        <w:jc w:val="center"/>
        <w:rPr>
          <w:sz w:val="16"/>
          <w:szCs w:val="16"/>
          <w:lang w:val="pt-PT"/>
        </w:rPr>
      </w:pPr>
    </w:p>
    <w:p w14:paraId="00000093" w14:textId="77777777" w:rsidR="00F831B7" w:rsidRPr="00352A91" w:rsidRDefault="00083EDE" w:rsidP="001F127C">
      <w:pPr>
        <w:keepNext/>
        <w:widowControl/>
        <w:spacing w:after="120" w:line="276" w:lineRule="auto"/>
        <w:outlineLvl w:val="0"/>
        <w:rPr>
          <w:b/>
          <w:sz w:val="26"/>
          <w:szCs w:val="26"/>
          <w:lang w:val="pt-PT"/>
        </w:rPr>
      </w:pPr>
      <w:r w:rsidRPr="00352A91">
        <w:rPr>
          <w:b/>
          <w:sz w:val="26"/>
          <w:szCs w:val="26"/>
          <w:lang w:val="pt-PT"/>
        </w:rPr>
        <w:t>Conclusões</w:t>
      </w:r>
    </w:p>
    <w:p w14:paraId="06032791" w14:textId="77777777" w:rsidR="001C4AE7" w:rsidRDefault="001C4AE7">
      <w:pPr>
        <w:keepNext/>
        <w:widowControl/>
        <w:spacing w:after="120" w:line="276" w:lineRule="auto"/>
        <w:jc w:val="both"/>
        <w:rPr>
          <w:lang w:val="pt-PT"/>
        </w:rPr>
      </w:pPr>
      <w:r w:rsidRPr="001C4AE7">
        <w:rPr>
          <w:sz w:val="22"/>
          <w:szCs w:val="22"/>
          <w:lang w:val="pt-PT"/>
        </w:rPr>
        <w:t xml:space="preserve">Vários estudos revelam a importância dos RI de acesso aberto na visibilidade das coleções, nomeadamente REA, ao longo do tempo, e o potencial impacto na comunidade científica e educativa </w:t>
      </w:r>
      <w:r w:rsidRPr="001C4AE7">
        <w:rPr>
          <w:sz w:val="22"/>
          <w:szCs w:val="22"/>
          <w:lang w:val="pt-PT"/>
        </w:rPr>
        <w:lastRenderedPageBreak/>
        <w:t>nacional e internacional. Além disso, coleções e repositórios de REA precisam de atenção especial no que diz respeito à curadoria digital, que tem assumido importância crescente para as bibliotecas como instituições responsáveis pela preservação de objetos digitais (</w:t>
      </w:r>
      <w:proofErr w:type="spellStart"/>
      <w:r w:rsidRPr="001C4AE7">
        <w:rPr>
          <w:sz w:val="22"/>
          <w:szCs w:val="22"/>
          <w:lang w:val="pt-PT"/>
        </w:rPr>
        <w:t>Beagrie</w:t>
      </w:r>
      <w:proofErr w:type="spellEnd"/>
      <w:r w:rsidRPr="001C4AE7">
        <w:rPr>
          <w:sz w:val="22"/>
          <w:szCs w:val="22"/>
          <w:lang w:val="pt-PT"/>
        </w:rPr>
        <w:t xml:space="preserve">, 2006; </w:t>
      </w:r>
      <w:proofErr w:type="spellStart"/>
      <w:r w:rsidRPr="001C4AE7">
        <w:rPr>
          <w:sz w:val="22"/>
          <w:szCs w:val="22"/>
          <w:lang w:val="pt-PT"/>
        </w:rPr>
        <w:t>Kunda</w:t>
      </w:r>
      <w:proofErr w:type="spellEnd"/>
      <w:r w:rsidRPr="001C4AE7">
        <w:rPr>
          <w:sz w:val="22"/>
          <w:szCs w:val="22"/>
          <w:lang w:val="pt-PT"/>
        </w:rPr>
        <w:t xml:space="preserve"> &amp; Anderson-</w:t>
      </w:r>
      <w:proofErr w:type="spellStart"/>
      <w:r w:rsidRPr="001C4AE7">
        <w:rPr>
          <w:sz w:val="22"/>
          <w:szCs w:val="22"/>
          <w:lang w:val="pt-PT"/>
        </w:rPr>
        <w:t>Wilk</w:t>
      </w:r>
      <w:proofErr w:type="spellEnd"/>
      <w:r w:rsidRPr="001C4AE7">
        <w:rPr>
          <w:sz w:val="22"/>
          <w:szCs w:val="22"/>
          <w:lang w:val="pt-PT"/>
        </w:rPr>
        <w:t>, 2011).</w:t>
      </w:r>
      <w:r w:rsidRPr="001C4AE7">
        <w:rPr>
          <w:lang w:val="pt-PT"/>
        </w:rPr>
        <w:t xml:space="preserve"> </w:t>
      </w:r>
    </w:p>
    <w:p w14:paraId="00000095" w14:textId="1BC2E02B" w:rsidR="00F831B7" w:rsidRPr="00352A91" w:rsidRDefault="001C4AE7">
      <w:pPr>
        <w:keepNext/>
        <w:widowControl/>
        <w:spacing w:after="120" w:line="276" w:lineRule="auto"/>
        <w:jc w:val="both"/>
        <w:rPr>
          <w:sz w:val="22"/>
          <w:szCs w:val="22"/>
          <w:lang w:val="pt-PT"/>
        </w:rPr>
      </w:pPr>
      <w:r w:rsidRPr="001C4AE7">
        <w:rPr>
          <w:sz w:val="22"/>
          <w:szCs w:val="22"/>
          <w:lang w:val="pt-PT"/>
        </w:rPr>
        <w:t xml:space="preserve">Os resultados mostram-nos que o número de REA arquivados no RI da UAb tem vindo a crescer. Durante os 2 anos da pandemia (2020 e 2021) o número de novos depósitos manteve-se estável. Mas a utilização desses recursos (downloads) é muito significativa, e constatamos um aumento durante o período da pandemia. Este aumento de utilização, demonstrado pelos dados estatísticos, deve ser considerado como um argumento válido para justificar mais ações internas de apoio ao reforço da coleção de REA da UAb, sobretudo nas áreas científicas com menos depósitos. </w:t>
      </w:r>
      <w:r w:rsidR="00A94D0F">
        <w:rPr>
          <w:sz w:val="22"/>
          <w:szCs w:val="22"/>
          <w:lang w:val="pt-PT"/>
        </w:rPr>
        <w:t>Estando</w:t>
      </w:r>
      <w:r w:rsidRPr="001C4AE7">
        <w:rPr>
          <w:sz w:val="22"/>
          <w:szCs w:val="22"/>
          <w:lang w:val="pt-PT"/>
        </w:rPr>
        <w:t xml:space="preserve"> a </w:t>
      </w:r>
      <w:r w:rsidR="00136D5D">
        <w:rPr>
          <w:sz w:val="22"/>
          <w:szCs w:val="22"/>
          <w:lang w:val="pt-PT"/>
        </w:rPr>
        <w:t>U</w:t>
      </w:r>
      <w:r w:rsidRPr="001C4AE7">
        <w:rPr>
          <w:sz w:val="22"/>
          <w:szCs w:val="22"/>
          <w:lang w:val="pt-PT"/>
        </w:rPr>
        <w:t xml:space="preserve">niversidade comprometida com o </w:t>
      </w:r>
      <w:r w:rsidR="00A94D0F">
        <w:rPr>
          <w:sz w:val="22"/>
          <w:szCs w:val="22"/>
          <w:lang w:val="pt-PT"/>
        </w:rPr>
        <w:t>m</w:t>
      </w:r>
      <w:r w:rsidRPr="001C4AE7">
        <w:rPr>
          <w:sz w:val="22"/>
          <w:szCs w:val="22"/>
          <w:lang w:val="pt-PT"/>
        </w:rPr>
        <w:t xml:space="preserve">ovimento </w:t>
      </w:r>
      <w:r w:rsidR="00A94D0F">
        <w:rPr>
          <w:sz w:val="22"/>
          <w:szCs w:val="22"/>
          <w:lang w:val="pt-PT"/>
        </w:rPr>
        <w:t xml:space="preserve">da </w:t>
      </w:r>
      <w:r w:rsidR="00136D5D">
        <w:rPr>
          <w:sz w:val="22"/>
          <w:szCs w:val="22"/>
          <w:lang w:val="pt-PT"/>
        </w:rPr>
        <w:t>E</w:t>
      </w:r>
      <w:r w:rsidR="00A94D0F">
        <w:rPr>
          <w:sz w:val="22"/>
          <w:szCs w:val="22"/>
          <w:lang w:val="pt-PT"/>
        </w:rPr>
        <w:t xml:space="preserve">ducação </w:t>
      </w:r>
      <w:r w:rsidR="00136D5D">
        <w:rPr>
          <w:sz w:val="22"/>
          <w:szCs w:val="22"/>
          <w:lang w:val="pt-PT"/>
        </w:rPr>
        <w:t>A</w:t>
      </w:r>
      <w:r w:rsidR="00A94D0F">
        <w:rPr>
          <w:sz w:val="22"/>
          <w:szCs w:val="22"/>
          <w:lang w:val="pt-PT"/>
        </w:rPr>
        <w:t>berta</w:t>
      </w:r>
      <w:r w:rsidRPr="001C4AE7">
        <w:rPr>
          <w:sz w:val="22"/>
          <w:szCs w:val="22"/>
          <w:lang w:val="pt-PT"/>
        </w:rPr>
        <w:t xml:space="preserve"> e com os ODS</w:t>
      </w:r>
      <w:r w:rsidR="006A0EB1">
        <w:rPr>
          <w:sz w:val="22"/>
          <w:szCs w:val="22"/>
          <w:lang w:val="pt-PT"/>
        </w:rPr>
        <w:t>,</w:t>
      </w:r>
      <w:r w:rsidRPr="001C4AE7">
        <w:rPr>
          <w:sz w:val="22"/>
          <w:szCs w:val="22"/>
          <w:lang w:val="pt-PT"/>
        </w:rPr>
        <w:t xml:space="preserve"> e olhando para as principais áreas científicas que se desenvolvem na </w:t>
      </w:r>
      <w:r w:rsidR="00136D5D">
        <w:rPr>
          <w:sz w:val="22"/>
          <w:szCs w:val="22"/>
          <w:lang w:val="pt-PT"/>
        </w:rPr>
        <w:t>Instituição</w:t>
      </w:r>
      <w:r w:rsidRPr="001C4AE7">
        <w:rPr>
          <w:sz w:val="22"/>
          <w:szCs w:val="22"/>
          <w:lang w:val="pt-PT"/>
        </w:rPr>
        <w:t>, identificamos algumas fragilidades, por exemplo em temas que se relacionam com algumas áre</w:t>
      </w:r>
      <w:r w:rsidR="006A0EB1">
        <w:rPr>
          <w:sz w:val="22"/>
          <w:szCs w:val="22"/>
          <w:lang w:val="pt-PT"/>
        </w:rPr>
        <w:t xml:space="preserve">as </w:t>
      </w:r>
      <w:r w:rsidRPr="001C4AE7">
        <w:rPr>
          <w:sz w:val="22"/>
          <w:szCs w:val="22"/>
          <w:lang w:val="pt-PT"/>
        </w:rPr>
        <w:t xml:space="preserve">centrais dos cursos oferecidos pela UAb. Levando em consideração o efetivo interesse alcançado por esta coleção de REA, podemos antecipar que </w:t>
      </w:r>
      <w:r w:rsidR="00136D5D" w:rsidRPr="00136D5D">
        <w:rPr>
          <w:color w:val="FF0000"/>
          <w:sz w:val="22"/>
          <w:szCs w:val="22"/>
          <w:lang w:val="pt-PT"/>
        </w:rPr>
        <w:t>o</w:t>
      </w:r>
      <w:r w:rsidR="00136D5D">
        <w:rPr>
          <w:sz w:val="22"/>
          <w:szCs w:val="22"/>
          <w:lang w:val="pt-PT"/>
        </w:rPr>
        <w:t xml:space="preserve"> </w:t>
      </w:r>
      <w:r w:rsidRPr="001C4AE7">
        <w:rPr>
          <w:sz w:val="22"/>
          <w:szCs w:val="22"/>
          <w:lang w:val="pt-PT"/>
        </w:rPr>
        <w:t xml:space="preserve">seu impacto educacional e social pode </w:t>
      </w:r>
      <w:r w:rsidR="00A94D0F">
        <w:rPr>
          <w:sz w:val="22"/>
          <w:szCs w:val="22"/>
          <w:lang w:val="pt-PT"/>
        </w:rPr>
        <w:t xml:space="preserve">ainda </w:t>
      </w:r>
      <w:r w:rsidRPr="001C4AE7">
        <w:rPr>
          <w:sz w:val="22"/>
          <w:szCs w:val="22"/>
          <w:lang w:val="pt-PT"/>
        </w:rPr>
        <w:t xml:space="preserve">ser maior. </w:t>
      </w:r>
    </w:p>
    <w:p w14:paraId="00000096" w14:textId="77777777" w:rsidR="00F831B7" w:rsidRPr="00352A91" w:rsidRDefault="00083EDE">
      <w:pPr>
        <w:keepNext/>
        <w:widowControl/>
        <w:spacing w:after="120" w:line="276" w:lineRule="auto"/>
        <w:rPr>
          <w:sz w:val="26"/>
          <w:szCs w:val="26"/>
          <w:lang w:val="pt-PT"/>
        </w:rPr>
      </w:pPr>
      <w:r w:rsidRPr="00352A91">
        <w:rPr>
          <w:b/>
          <w:sz w:val="26"/>
          <w:szCs w:val="26"/>
          <w:lang w:val="pt-PT"/>
        </w:rPr>
        <w:t>Referências bibliográficas</w:t>
      </w:r>
    </w:p>
    <w:p w14:paraId="3F1B9539" w14:textId="77777777" w:rsidR="00655A25" w:rsidRDefault="00A66290" w:rsidP="00702CAE">
      <w:pPr>
        <w:spacing w:before="120"/>
        <w:jc w:val="both"/>
        <w:rPr>
          <w:rStyle w:val="Hiperligao"/>
          <w:sz w:val="20"/>
          <w:lang w:val="pt-PT"/>
        </w:rPr>
      </w:pPr>
      <w:r w:rsidRPr="00A66290">
        <w:rPr>
          <w:lang w:val="pt-PT"/>
        </w:rPr>
        <w:t xml:space="preserve">Bastos, G. &amp; Carvalho, M. (2019). Inovação pedagógica na Universidade Aberta: um ecossistema de recursos e práticas educacionais abertas, </w:t>
      </w:r>
      <w:r w:rsidRPr="00791E14">
        <w:rPr>
          <w:i/>
          <w:lang w:val="pt-PT"/>
        </w:rPr>
        <w:t>Ciência da Informação</w:t>
      </w:r>
      <w:r w:rsidRPr="00A66290">
        <w:rPr>
          <w:lang w:val="pt-PT"/>
        </w:rPr>
        <w:t xml:space="preserve">, 48(3). </w:t>
      </w:r>
      <w:hyperlink r:id="rId11" w:history="1">
        <w:r w:rsidR="00282AF9" w:rsidRPr="00EA5C32">
          <w:rPr>
            <w:rStyle w:val="Hiperligao"/>
            <w:sz w:val="20"/>
            <w:lang w:val="pt-PT"/>
          </w:rPr>
          <w:t>https://revista.ibict.br/ciinf/article/view/4895</w:t>
        </w:r>
      </w:hyperlink>
    </w:p>
    <w:p w14:paraId="36530267" w14:textId="1BBFD4E1" w:rsidR="001C4AE7" w:rsidRDefault="001C4AE7" w:rsidP="00702CAE">
      <w:pPr>
        <w:spacing w:before="120"/>
        <w:jc w:val="both"/>
        <w:rPr>
          <w:lang w:val="en-US"/>
        </w:rPr>
      </w:pPr>
      <w:proofErr w:type="spellStart"/>
      <w:r w:rsidRPr="001C4AE7">
        <w:rPr>
          <w:lang w:val="en-US"/>
        </w:rPr>
        <w:t>Beagrie</w:t>
      </w:r>
      <w:proofErr w:type="spellEnd"/>
      <w:r w:rsidRPr="001C4AE7">
        <w:rPr>
          <w:lang w:val="en-US"/>
        </w:rPr>
        <w:t xml:space="preserve">, N. (2006).  Digital curation for science. digital libraries, and individuals. </w:t>
      </w:r>
      <w:r w:rsidRPr="001C4AE7">
        <w:rPr>
          <w:i/>
          <w:iCs/>
          <w:lang w:val="en-US"/>
        </w:rPr>
        <w:t>International Journal of Digital Curation</w:t>
      </w:r>
      <w:r w:rsidRPr="001C4AE7">
        <w:rPr>
          <w:lang w:val="en-US"/>
        </w:rPr>
        <w:t xml:space="preserve">, 1(1) 3–16. </w:t>
      </w:r>
      <w:hyperlink r:id="rId12" w:history="1">
        <w:r w:rsidRPr="003E6B17">
          <w:rPr>
            <w:rStyle w:val="Hiperligao"/>
            <w:sz w:val="20"/>
            <w:lang w:val="en-US"/>
          </w:rPr>
          <w:t>https://doi.org/10.2218/ijdc.v1i1.2</w:t>
        </w:r>
      </w:hyperlink>
    </w:p>
    <w:p w14:paraId="5C40F16E" w14:textId="5012F2FC" w:rsidR="00791E14" w:rsidRPr="00A66290" w:rsidRDefault="00A66290" w:rsidP="00702CAE">
      <w:pPr>
        <w:spacing w:before="120"/>
        <w:jc w:val="both"/>
        <w:rPr>
          <w:lang w:val="en-US"/>
        </w:rPr>
      </w:pPr>
      <w:r w:rsidRPr="00A66290">
        <w:rPr>
          <w:lang w:val="en-US"/>
        </w:rPr>
        <w:t xml:space="preserve">European University Association. (2021). </w:t>
      </w:r>
      <w:r w:rsidRPr="00A66290">
        <w:rPr>
          <w:i/>
          <w:iCs/>
          <w:lang w:val="en-US"/>
        </w:rPr>
        <w:t>Universities without walls. A vision for 2030</w:t>
      </w:r>
      <w:r w:rsidRPr="00A66290">
        <w:rPr>
          <w:lang w:val="en-US"/>
        </w:rPr>
        <w:t>.</w:t>
      </w:r>
      <w:r>
        <w:rPr>
          <w:lang w:val="en-US"/>
        </w:rPr>
        <w:t xml:space="preserve"> </w:t>
      </w:r>
      <w:r w:rsidRPr="00A66290">
        <w:rPr>
          <w:lang w:val="en-US"/>
        </w:rPr>
        <w:t>https://eua.eu/</w:t>
      </w:r>
      <w:r>
        <w:rPr>
          <w:lang w:val="en-US"/>
        </w:rPr>
        <w:t xml:space="preserve"> </w:t>
      </w:r>
      <w:r w:rsidRPr="00A66290">
        <w:rPr>
          <w:lang w:val="en-US"/>
        </w:rPr>
        <w:t>downloads/</w:t>
      </w:r>
      <w:r>
        <w:rPr>
          <w:lang w:val="en-US"/>
        </w:rPr>
        <w:t xml:space="preserve"> </w:t>
      </w:r>
      <w:r w:rsidRPr="00A66290">
        <w:rPr>
          <w:lang w:val="en-US"/>
        </w:rPr>
        <w:t>publications/universities%20without%20walls%20%20a%20vision%20for%202030.pdf</w:t>
      </w:r>
      <w:r w:rsidR="00282AF9">
        <w:rPr>
          <w:lang w:val="en-US"/>
        </w:rPr>
        <w:t xml:space="preserve"> </w:t>
      </w:r>
    </w:p>
    <w:p w14:paraId="7D9827CA" w14:textId="53EAC185" w:rsidR="00A66290" w:rsidRPr="00A66290" w:rsidRDefault="00A66290" w:rsidP="00702CAE">
      <w:pPr>
        <w:spacing w:before="120"/>
        <w:jc w:val="both"/>
        <w:rPr>
          <w:lang w:val="en-US"/>
        </w:rPr>
      </w:pPr>
      <w:r w:rsidRPr="00A66290">
        <w:rPr>
          <w:lang w:val="en-US"/>
        </w:rPr>
        <w:t xml:space="preserve">Gaebel, M., Zhang, T., Stoeber, H. &amp; Morrisroe, A. (2021). </w:t>
      </w:r>
      <w:r w:rsidRPr="00A66290">
        <w:rPr>
          <w:i/>
          <w:iCs/>
          <w:lang w:val="en-US"/>
        </w:rPr>
        <w:t>Digitally enhanced learning and teaching in European higher education institutions: Survey report</w:t>
      </w:r>
      <w:r w:rsidRPr="00A66290">
        <w:rPr>
          <w:lang w:val="en-US"/>
        </w:rPr>
        <w:t>. EUA - European University Association. https://eua.eu/downloads/publications/digihe%20new%20version.pdf</w:t>
      </w:r>
    </w:p>
    <w:p w14:paraId="513B5F80" w14:textId="37940A3F" w:rsidR="00A66290" w:rsidRPr="00A66290" w:rsidRDefault="00A66290" w:rsidP="00702CAE">
      <w:pPr>
        <w:spacing w:before="120"/>
        <w:jc w:val="both"/>
        <w:rPr>
          <w:lang w:val="en-US"/>
        </w:rPr>
      </w:pPr>
      <w:r w:rsidRPr="00A66290">
        <w:rPr>
          <w:lang w:val="en-US"/>
        </w:rPr>
        <w:t xml:space="preserve">Hodges, C., Moore, S., Lockee, B., Trust, T., &amp; Bond, A. (2020). The Difference between Emergency Remote Teaching and Online Learning. </w:t>
      </w:r>
      <w:r w:rsidRPr="00A66290">
        <w:rPr>
          <w:i/>
          <w:iCs/>
          <w:lang w:val="en-US"/>
        </w:rPr>
        <w:t>EDUCA</w:t>
      </w:r>
      <w:r w:rsidR="00791E14">
        <w:rPr>
          <w:i/>
          <w:iCs/>
          <w:lang w:val="en-US"/>
        </w:rPr>
        <w:t>U</w:t>
      </w:r>
      <w:r w:rsidRPr="00A66290">
        <w:rPr>
          <w:i/>
          <w:iCs/>
          <w:lang w:val="en-US"/>
        </w:rPr>
        <w:t>SE Review</w:t>
      </w:r>
      <w:r w:rsidRPr="00A66290">
        <w:rPr>
          <w:lang w:val="en-US"/>
        </w:rPr>
        <w:t xml:space="preserve">. </w:t>
      </w:r>
      <w:hyperlink r:id="rId13" w:history="1">
        <w:r w:rsidR="00CD477F" w:rsidRPr="00EA5C32">
          <w:rPr>
            <w:rStyle w:val="Hiperligao"/>
            <w:sz w:val="20"/>
            <w:lang w:val="en-US"/>
          </w:rPr>
          <w:t>https://er.educause.edu/articles/2020/3/the-difference-between-emergency-remote-teaching-and-online-learning</w:t>
        </w:r>
      </w:hyperlink>
      <w:r w:rsidR="00CD477F">
        <w:rPr>
          <w:lang w:val="en-US"/>
        </w:rPr>
        <w:t xml:space="preserve"> </w:t>
      </w:r>
    </w:p>
    <w:p w14:paraId="743EE09C" w14:textId="4B45A945" w:rsidR="001C4AE7" w:rsidRDefault="001C4AE7" w:rsidP="00702CAE">
      <w:pPr>
        <w:spacing w:before="120"/>
        <w:jc w:val="both"/>
        <w:rPr>
          <w:lang w:val="en-US"/>
        </w:rPr>
      </w:pPr>
      <w:r w:rsidRPr="001C4AE7">
        <w:rPr>
          <w:lang w:val="en-US"/>
        </w:rPr>
        <w:t xml:space="preserve">Kunda, S. &amp; Anderson-Wilk, M. (2011). Community stories and institutional stewardship: Digital curation’s dual roles of story creation and resource preservation. </w:t>
      </w:r>
      <w:r w:rsidRPr="001C4AE7">
        <w:rPr>
          <w:i/>
          <w:iCs/>
          <w:lang w:val="en-US"/>
        </w:rPr>
        <w:t>Libraries and the Academy</w:t>
      </w:r>
      <w:r w:rsidRPr="001C4AE7">
        <w:rPr>
          <w:lang w:val="en-US"/>
        </w:rPr>
        <w:t xml:space="preserve">.11(4). 895–914. </w:t>
      </w:r>
      <w:hyperlink r:id="rId14" w:history="1">
        <w:r w:rsidRPr="003E6B17">
          <w:rPr>
            <w:rStyle w:val="Hiperligao"/>
            <w:sz w:val="20"/>
            <w:lang w:val="en-US"/>
          </w:rPr>
          <w:t>https://digitalcommons.wou.edu/cgi/viewcontent.cgi?article=1006&amp;context=fac_pubs</w:t>
        </w:r>
      </w:hyperlink>
    </w:p>
    <w:p w14:paraId="6DCB99B9" w14:textId="15302D19" w:rsidR="00A66290" w:rsidRPr="00A66290" w:rsidRDefault="00A66290" w:rsidP="00702CAE">
      <w:pPr>
        <w:spacing w:before="120"/>
        <w:jc w:val="both"/>
        <w:rPr>
          <w:lang w:val="en-US"/>
        </w:rPr>
      </w:pPr>
      <w:r w:rsidRPr="00A66290">
        <w:rPr>
          <w:lang w:val="en-US"/>
        </w:rPr>
        <w:t xml:space="preserve">LIBER (2020). </w:t>
      </w:r>
      <w:r w:rsidRPr="00A66290">
        <w:rPr>
          <w:i/>
          <w:iCs/>
          <w:lang w:val="en-US"/>
        </w:rPr>
        <w:t>The Impact of Covid-19 on Research Libraries Across Europe</w:t>
      </w:r>
      <w:r w:rsidRPr="00A66290">
        <w:rPr>
          <w:lang w:val="en-US"/>
        </w:rPr>
        <w:t xml:space="preserve"> (2020). https://libereurope.eu/article/covid19-survey-research-libraries-europe/ </w:t>
      </w:r>
    </w:p>
    <w:p w14:paraId="40B9B3E6" w14:textId="1D724451" w:rsidR="00A66290" w:rsidRDefault="00A66290" w:rsidP="00702CAE">
      <w:pPr>
        <w:spacing w:before="120"/>
        <w:jc w:val="both"/>
        <w:rPr>
          <w:lang w:val="pt-PT"/>
        </w:rPr>
      </w:pPr>
      <w:r w:rsidRPr="00A66290">
        <w:rPr>
          <w:lang w:val="en-US"/>
        </w:rPr>
        <w:t xml:space="preserve">Library Journal (2020). </w:t>
      </w:r>
      <w:r w:rsidRPr="00A66290">
        <w:rPr>
          <w:i/>
          <w:iCs/>
          <w:lang w:val="en-US"/>
        </w:rPr>
        <w:t>Open Access Content/Open Educational Resources in Academic Libraries: Survey Report</w:t>
      </w:r>
      <w:r w:rsidRPr="00A66290">
        <w:rPr>
          <w:lang w:val="en-US"/>
        </w:rPr>
        <w:t xml:space="preserve">, December 2020. </w:t>
      </w:r>
      <w:proofErr w:type="spellStart"/>
      <w:r w:rsidRPr="00A66290">
        <w:rPr>
          <w:lang w:val="pt-PT"/>
        </w:rPr>
        <w:t>Academic</w:t>
      </w:r>
      <w:proofErr w:type="spellEnd"/>
      <w:r w:rsidRPr="00A66290">
        <w:rPr>
          <w:lang w:val="pt-PT"/>
        </w:rPr>
        <w:t xml:space="preserve"> OA OER </w:t>
      </w:r>
      <w:proofErr w:type="spellStart"/>
      <w:r w:rsidRPr="00A66290">
        <w:rPr>
          <w:lang w:val="pt-PT"/>
        </w:rPr>
        <w:t>Survey</w:t>
      </w:r>
      <w:proofErr w:type="spellEnd"/>
      <w:r w:rsidRPr="00A66290">
        <w:rPr>
          <w:lang w:val="pt-PT"/>
        </w:rPr>
        <w:t xml:space="preserve"> </w:t>
      </w:r>
      <w:proofErr w:type="spellStart"/>
      <w:r w:rsidRPr="00A66290">
        <w:rPr>
          <w:lang w:val="pt-PT"/>
        </w:rPr>
        <w:t>Report</w:t>
      </w:r>
      <w:proofErr w:type="spellEnd"/>
      <w:r w:rsidRPr="00A66290">
        <w:rPr>
          <w:lang w:val="pt-PT"/>
        </w:rPr>
        <w:t xml:space="preserve"> FINAL.pdf</w:t>
      </w:r>
    </w:p>
    <w:p w14:paraId="43B38F9F" w14:textId="19242CCD" w:rsidR="00CD477F" w:rsidRDefault="00CD477F" w:rsidP="00702CAE">
      <w:pPr>
        <w:spacing w:before="120"/>
        <w:jc w:val="both"/>
        <w:rPr>
          <w:lang w:val="en-US"/>
        </w:rPr>
      </w:pPr>
      <w:r w:rsidRPr="00CD477F">
        <w:rPr>
          <w:lang w:val="en-US"/>
        </w:rPr>
        <w:t xml:space="preserve">UNESCO | Commonwealth of Learning. (2015). </w:t>
      </w:r>
      <w:r w:rsidRPr="00655A25">
        <w:rPr>
          <w:i/>
          <w:lang w:val="en-US"/>
        </w:rPr>
        <w:t>Guidelines for Open Educational Resources (OER) in Higher Education</w:t>
      </w:r>
      <w:r w:rsidRPr="00CD477F">
        <w:rPr>
          <w:lang w:val="en-US"/>
        </w:rPr>
        <w:t xml:space="preserve">. </w:t>
      </w:r>
      <w:hyperlink r:id="rId15" w:history="1">
        <w:r w:rsidR="00655A25" w:rsidRPr="002C6566">
          <w:rPr>
            <w:rStyle w:val="Hiperligao"/>
            <w:sz w:val="20"/>
            <w:lang w:val="en-US"/>
          </w:rPr>
          <w:t>https://unesdoc.unesco.org/ark:/48223/pf0000213605</w:t>
        </w:r>
      </w:hyperlink>
    </w:p>
    <w:p w14:paraId="57F7EC03" w14:textId="4FE98340" w:rsidR="00655A25" w:rsidRDefault="00655A25" w:rsidP="00702CAE">
      <w:pPr>
        <w:spacing w:before="120"/>
        <w:jc w:val="both"/>
        <w:rPr>
          <w:highlight w:val="white"/>
          <w:lang w:val="en-US"/>
        </w:rPr>
      </w:pPr>
    </w:p>
    <w:p w14:paraId="4C5D1DAB" w14:textId="77777777" w:rsidR="00655A25" w:rsidRPr="00CD477F" w:rsidRDefault="00655A25" w:rsidP="00702CAE">
      <w:pPr>
        <w:spacing w:before="120"/>
        <w:jc w:val="both"/>
        <w:rPr>
          <w:highlight w:val="white"/>
          <w:lang w:val="en-US"/>
        </w:rPr>
      </w:pPr>
    </w:p>
    <w:p w14:paraId="7B6913CA" w14:textId="09291C67" w:rsidR="00A66290" w:rsidRPr="00CD477F" w:rsidRDefault="00A66290">
      <w:pPr>
        <w:spacing w:before="10"/>
        <w:rPr>
          <w:sz w:val="22"/>
          <w:szCs w:val="22"/>
          <w:highlight w:val="white"/>
          <w:lang w:val="en-US"/>
        </w:rPr>
      </w:pPr>
    </w:p>
    <w:p w14:paraId="0933642D" w14:textId="77777777" w:rsidR="00A66290" w:rsidRPr="00CD477F" w:rsidRDefault="00A66290">
      <w:pPr>
        <w:spacing w:before="10"/>
        <w:rPr>
          <w:sz w:val="22"/>
          <w:szCs w:val="22"/>
          <w:highlight w:val="white"/>
          <w:u w:val="single"/>
          <w:lang w:val="en-US"/>
        </w:rPr>
      </w:pPr>
    </w:p>
    <w:p w14:paraId="00000098" w14:textId="77777777" w:rsidR="00F831B7" w:rsidRPr="00CD477F" w:rsidRDefault="00F831B7">
      <w:pPr>
        <w:rPr>
          <w:b/>
          <w:strike/>
          <w:highlight w:val="yellow"/>
          <w:lang w:val="en-US"/>
        </w:rPr>
      </w:pPr>
    </w:p>
    <w:p w14:paraId="4B6124AC" w14:textId="77777777" w:rsidR="00C2184D" w:rsidRPr="00C2184D" w:rsidRDefault="00C2184D">
      <w:pPr>
        <w:spacing w:before="120"/>
        <w:rPr>
          <w:smallCaps/>
          <w:highlight w:val="white"/>
          <w:lang w:val="en-US"/>
        </w:rPr>
      </w:pPr>
    </w:p>
    <w:p w14:paraId="000000AC" w14:textId="77777777" w:rsidR="00F831B7" w:rsidRPr="007111DF" w:rsidRDefault="00F831B7">
      <w:pPr>
        <w:widowControl/>
        <w:spacing w:after="120" w:line="276" w:lineRule="auto"/>
        <w:jc w:val="both"/>
        <w:rPr>
          <w:color w:val="111111"/>
          <w:sz w:val="24"/>
          <w:szCs w:val="24"/>
          <w:highlight w:val="yellow"/>
        </w:rPr>
      </w:pPr>
    </w:p>
    <w:sectPr w:rsidR="00F831B7" w:rsidRPr="007111DF">
      <w:headerReference w:type="even" r:id="rId16"/>
      <w:headerReference w:type="default" r:id="rId17"/>
      <w:footerReference w:type="even" r:id="rId18"/>
      <w:footerReference w:type="default" r:id="rId19"/>
      <w:headerReference w:type="first" r:id="rId20"/>
      <w:footerReference w:type="first" r:id="rId21"/>
      <w:pgSz w:w="11906" w:h="16838"/>
      <w:pgMar w:top="1418" w:right="1418" w:bottom="1418" w:left="1418" w:header="907" w:footer="119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866BF8" w14:textId="77777777" w:rsidR="00403F7F" w:rsidRDefault="00403F7F">
      <w:r>
        <w:separator/>
      </w:r>
    </w:p>
  </w:endnote>
  <w:endnote w:type="continuationSeparator" w:id="0">
    <w:p w14:paraId="35559777" w14:textId="77777777" w:rsidR="00403F7F" w:rsidRDefault="00403F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3501387"/>
      <w:docPartObj>
        <w:docPartGallery w:val="Page Numbers (Bottom of Page)"/>
        <w:docPartUnique/>
      </w:docPartObj>
    </w:sdtPr>
    <w:sdtEndPr/>
    <w:sdtContent>
      <w:p w14:paraId="20B7D6FF" w14:textId="1F422AF8" w:rsidR="003B6BD4" w:rsidRDefault="003B6BD4">
        <w:pPr>
          <w:pStyle w:val="Rodap"/>
          <w:jc w:val="center"/>
        </w:pPr>
        <w:r>
          <w:fldChar w:fldCharType="begin"/>
        </w:r>
        <w:r>
          <w:instrText>PAGE   \* MERGEFORMAT</w:instrText>
        </w:r>
        <w:r>
          <w:fldChar w:fldCharType="separate"/>
        </w:r>
        <w:r>
          <w:rPr>
            <w:lang w:val="pt-PT"/>
          </w:rPr>
          <w:t>2</w:t>
        </w:r>
        <w:r>
          <w:fldChar w:fldCharType="end"/>
        </w:r>
      </w:p>
    </w:sdtContent>
  </w:sdt>
  <w:p w14:paraId="000000B5" w14:textId="577E3B5A" w:rsidR="00F831B7" w:rsidRDefault="00F831B7">
    <w:pPr>
      <w:pBdr>
        <w:top w:val="nil"/>
        <w:left w:val="nil"/>
        <w:bottom w:val="nil"/>
        <w:right w:val="nil"/>
        <w:between w:val="nil"/>
      </w:pBdr>
      <w:tabs>
        <w:tab w:val="center" w:pos="4252"/>
        <w:tab w:val="right" w:pos="8504"/>
      </w:tabs>
      <w:rPr>
        <w:rFonts w:eastAsia="Times New Roman"/>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B7" w14:textId="77777777" w:rsidR="00F831B7" w:rsidRDefault="00083EDE">
    <w:pPr>
      <w:pBdr>
        <w:top w:val="nil"/>
        <w:left w:val="nil"/>
        <w:bottom w:val="nil"/>
        <w:right w:val="nil"/>
        <w:between w:val="nil"/>
      </w:pBdr>
      <w:tabs>
        <w:tab w:val="center" w:pos="4252"/>
        <w:tab w:val="right" w:pos="8504"/>
      </w:tabs>
      <w:rPr>
        <w:rFonts w:eastAsia="Times New Roman"/>
        <w:color w:val="000000"/>
      </w:rPr>
    </w:pPr>
    <w:r>
      <w:rPr>
        <w:noProof/>
      </w:rPr>
      <mc:AlternateContent>
        <mc:Choice Requires="wps">
          <w:drawing>
            <wp:anchor distT="0" distB="0" distL="114300" distR="114300" simplePos="0" relativeHeight="251658240" behindDoc="0" locked="0" layoutInCell="1" hidden="0" allowOverlap="1" wp14:anchorId="642FBDA0" wp14:editId="168A7DDE">
              <wp:simplePos x="0" y="0"/>
              <wp:positionH relativeFrom="column">
                <wp:posOffset>2590800</wp:posOffset>
              </wp:positionH>
              <wp:positionV relativeFrom="paragraph">
                <wp:posOffset>0</wp:posOffset>
              </wp:positionV>
              <wp:extent cx="575310" cy="201295"/>
              <wp:effectExtent l="0" t="0" r="0" b="0"/>
              <wp:wrapNone/>
              <wp:docPr id="652" name="Retângulo 652"/>
              <wp:cNvGraphicFramePr/>
              <a:graphic xmlns:a="http://schemas.openxmlformats.org/drawingml/2006/main">
                <a:graphicData uri="http://schemas.microsoft.com/office/word/2010/wordprocessingShape">
                  <wps:wsp>
                    <wps:cNvSpPr/>
                    <wps:spPr>
                      <a:xfrm rot="10800000" flipH="1">
                        <a:off x="5063108" y="3684115"/>
                        <a:ext cx="565785" cy="191770"/>
                      </a:xfrm>
                      <a:prstGeom prst="rect">
                        <a:avLst/>
                      </a:prstGeom>
                      <a:noFill/>
                      <a:ln>
                        <a:noFill/>
                      </a:ln>
                    </wps:spPr>
                    <wps:txbx>
                      <w:txbxContent>
                        <w:p w14:paraId="36E2B8D9" w14:textId="77777777" w:rsidR="00F831B7" w:rsidRDefault="00083EDE">
                          <w:pPr>
                            <w:jc w:val="center"/>
                            <w:textDirection w:val="btLr"/>
                          </w:pPr>
                          <w:r>
                            <w:rPr>
                              <w:rFonts w:ascii="Lucida Sans" w:eastAsia="Lucida Sans" w:hAnsi="Lucida Sans" w:cs="Lucida Sans"/>
                              <w:color w:val="000000"/>
                              <w:sz w:val="16"/>
                            </w:rPr>
                            <w:t>PAGE   \* MERGEFORMAT3</w:t>
                          </w:r>
                        </w:p>
                      </w:txbxContent>
                    </wps:txbx>
                    <wps:bodyPr spcFirstLastPara="1" wrap="square" lIns="91425" tIns="0" rIns="91425" bIns="0" anchor="t" anchorCtr="0">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642FBDA0" id="Retângulo 652" o:spid="_x0000_s1026" style="position:absolute;margin-left:204pt;margin-top:0;width:45.3pt;height:15.85pt;rotation:180;flip:x;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DeYxwEAAGoDAAAOAAAAZHJzL2Uyb0RvYy54bWysU9tu2zAMfR+wfxD0vthOm0uDOMWwItuA&#10;Yg3Q7gMUWYoFyJJGKrHz96Pk9LL1bZgfBIo6IM85pNe3Q2fZSQEa72peTUrOlJO+Me5Q859P209L&#10;zjAK1wjrnar5WSG/3Xz8sO7DSk19622jgFERh6s+1LyNMayKAmWrOoETH5SjR+2hE5GucCgaED1V&#10;72wxLct50XtoAnipECl7Nz7yTa6vtZLxQWtUkdmaE7eYT8jnPp3FZi1WBxChNfJCQ/wDi04YR01f&#10;St2JKNgRzLtSnZHg0es4kb4rvNZGqqyB1FTlX2oeWxFU1kLmYHixCf9fWfnj9Bh2QDb0AVdIYVIx&#10;aOgYeHKrKpdl+jjT1oRvlMgyiTgbaj4r51eE4Oxc86v58rqqZqOjaohMJsB8tljOOJMEqG6qxSI7&#10;XowdUqcAGL8q37EU1BxoYLmBON1jJFYEfYYkuPNbY20emnV/JAiYMsWrjBTFYT9ctO19c94BwyC3&#10;hnrdC4w7ATTsirOeFqDm+OsoQHFmvzty+Ka6nhLzmC+kH95m989Z4WTraZ8iZ2P4JebtGrl9Pkav&#10;TdaR2IwULiRpoFneZfnSxry9Z9TrL7L5DQAA//8DAFBLAwQUAAYACAAAACEAldeQgd4AAAAHAQAA&#10;DwAAAGRycy9kb3ducmV2LnhtbEyPQUvEMBCF74L/IYzgzU2rZa216SKKB0UWdhX0mG3GpppMapPt&#10;1n/veNLLwOM93vumXs3eiQnH2AdSkC8yEEhtMD11Cl6e789KEDFpMtoFQgXfGGHVHB/VujLhQBuc&#10;tqkTXEKx0gpsSkMlZWwteh0XYUBi7z2MXieWYyfNqA9c7p08z7Kl9LonXrB6wFuL7ed27xVsvu5S&#10;eLOFa/P8YXp9CusPekSlTk/mm2sQCef0F4ZffEaHhpl2YU8mCqegyEr+JSngy3ZxVS5B7BRc5Jcg&#10;m1r+529+AAAA//8DAFBLAQItABQABgAIAAAAIQC2gziS/gAAAOEBAAATAAAAAAAAAAAAAAAAAAAA&#10;AABbQ29udGVudF9UeXBlc10ueG1sUEsBAi0AFAAGAAgAAAAhADj9If/WAAAAlAEAAAsAAAAAAAAA&#10;AAAAAAAALwEAAF9yZWxzLy5yZWxzUEsBAi0AFAAGAAgAAAAhAIlAN5jHAQAAagMAAA4AAAAAAAAA&#10;AAAAAAAALgIAAGRycy9lMm9Eb2MueG1sUEsBAi0AFAAGAAgAAAAhAJXXkIHeAAAABwEAAA8AAAAA&#10;AAAAAAAAAAAAIQQAAGRycy9kb3ducmV2LnhtbFBLBQYAAAAABAAEAPMAAAAsBQAAAAA=&#10;" filled="f" stroked="f">
              <v:textbox inset="2.53958mm,0,2.53958mm,0">
                <w:txbxContent>
                  <w:p w14:paraId="36E2B8D9" w14:textId="77777777" w:rsidR="00F831B7" w:rsidRDefault="00083EDE">
                    <w:pPr>
                      <w:jc w:val="center"/>
                      <w:textDirection w:val="btLr"/>
                    </w:pPr>
                    <w:r>
                      <w:rPr>
                        <w:rFonts w:ascii="Lucida Sans" w:eastAsia="Lucida Sans" w:hAnsi="Lucida Sans" w:cs="Lucida Sans"/>
                        <w:color w:val="000000"/>
                        <w:sz w:val="16"/>
                      </w:rPr>
                      <w:t>PAGE   \* MERGEFORMAT3</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5356706"/>
      <w:docPartObj>
        <w:docPartGallery w:val="Page Numbers (Bottom of Page)"/>
        <w:docPartUnique/>
      </w:docPartObj>
    </w:sdtPr>
    <w:sdtEndPr/>
    <w:sdtContent>
      <w:p w14:paraId="39D9725B" w14:textId="668DA68B" w:rsidR="003B6BD4" w:rsidRDefault="003B6BD4">
        <w:pPr>
          <w:pStyle w:val="Rodap"/>
          <w:jc w:val="center"/>
        </w:pPr>
        <w:r>
          <w:fldChar w:fldCharType="begin"/>
        </w:r>
        <w:r>
          <w:instrText>PAGE   \* MERGEFORMAT</w:instrText>
        </w:r>
        <w:r>
          <w:fldChar w:fldCharType="separate"/>
        </w:r>
        <w:r>
          <w:rPr>
            <w:lang w:val="pt-PT"/>
          </w:rPr>
          <w:t>2</w:t>
        </w:r>
        <w:r>
          <w:fldChar w:fldCharType="end"/>
        </w:r>
      </w:p>
    </w:sdtContent>
  </w:sdt>
  <w:p w14:paraId="000000B6" w14:textId="25A1504E" w:rsidR="00F831B7" w:rsidRDefault="00F831B7">
    <w:pPr>
      <w:pBdr>
        <w:top w:val="nil"/>
        <w:left w:val="nil"/>
        <w:bottom w:val="nil"/>
        <w:right w:val="nil"/>
        <w:between w:val="nil"/>
      </w:pBdr>
      <w:tabs>
        <w:tab w:val="center" w:pos="4252"/>
        <w:tab w:val="right" w:pos="8504"/>
      </w:tabs>
      <w:rPr>
        <w:rFonts w:eastAsia="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666992" w14:textId="77777777" w:rsidR="00403F7F" w:rsidRDefault="00403F7F">
      <w:r>
        <w:separator/>
      </w:r>
    </w:p>
  </w:footnote>
  <w:footnote w:type="continuationSeparator" w:id="0">
    <w:p w14:paraId="7A6499CD" w14:textId="77777777" w:rsidR="00403F7F" w:rsidRDefault="00403F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BFD0A5" w14:textId="2B056864" w:rsidR="006B5758" w:rsidRPr="00352A91" w:rsidRDefault="00A66290" w:rsidP="006B5758">
    <w:pPr>
      <w:pBdr>
        <w:top w:val="nil"/>
        <w:left w:val="nil"/>
        <w:bottom w:val="nil"/>
        <w:right w:val="nil"/>
        <w:between w:val="nil"/>
      </w:pBdr>
      <w:tabs>
        <w:tab w:val="center" w:pos="4252"/>
        <w:tab w:val="right" w:pos="8504"/>
      </w:tabs>
      <w:jc w:val="center"/>
      <w:rPr>
        <w:rFonts w:ascii="Cambria" w:eastAsia="Cambria" w:hAnsi="Cambria" w:cs="Cambria"/>
        <w:color w:val="000000"/>
        <w:sz w:val="16"/>
        <w:szCs w:val="16"/>
        <w:lang w:val="pt-PT"/>
      </w:rPr>
    </w:pPr>
    <w:bookmarkStart w:id="2" w:name="_heading=h.gjdgxs" w:colFirst="0" w:colLast="0"/>
    <w:bookmarkEnd w:id="2"/>
    <w:r>
      <w:rPr>
        <w:rFonts w:ascii="Cambria" w:eastAsia="Cambria" w:hAnsi="Cambria" w:cs="Cambria"/>
        <w:color w:val="000000"/>
        <w:sz w:val="16"/>
        <w:szCs w:val="16"/>
        <w:lang w:val="pt-PT"/>
      </w:rPr>
      <w:t>Glória Bastos e Madalena Carvalho</w:t>
    </w:r>
    <w:r w:rsidR="00083EDE" w:rsidRPr="00352A91">
      <w:rPr>
        <w:rFonts w:ascii="Cambria" w:eastAsia="Cambria" w:hAnsi="Cambria" w:cs="Cambria"/>
        <w:color w:val="000000"/>
        <w:sz w:val="16"/>
        <w:szCs w:val="16"/>
        <w:lang w:val="pt-PT"/>
      </w:rPr>
      <w:t xml:space="preserve"> / 1</w:t>
    </w:r>
    <w:r w:rsidR="006B5758">
      <w:rPr>
        <w:rFonts w:ascii="Cambria" w:eastAsia="Cambria" w:hAnsi="Cambria" w:cs="Cambria"/>
        <w:color w:val="000000"/>
        <w:sz w:val="16"/>
        <w:szCs w:val="16"/>
        <w:lang w:val="pt-PT"/>
      </w:rPr>
      <w:t>4</w:t>
    </w:r>
    <w:r w:rsidR="00083EDE" w:rsidRPr="00352A91">
      <w:rPr>
        <w:rFonts w:ascii="Cambria" w:eastAsia="Cambria" w:hAnsi="Cambria" w:cs="Cambria"/>
        <w:color w:val="000000"/>
        <w:sz w:val="16"/>
        <w:szCs w:val="16"/>
        <w:lang w:val="pt-PT"/>
      </w:rPr>
      <w:t>º Congresso Nacional BAD, 20</w:t>
    </w:r>
    <w:r w:rsidR="006B5758">
      <w:rPr>
        <w:rFonts w:ascii="Cambria" w:eastAsia="Cambria" w:hAnsi="Cambria" w:cs="Cambria"/>
        <w:color w:val="000000"/>
        <w:sz w:val="16"/>
        <w:szCs w:val="16"/>
        <w:lang w:val="pt-PT"/>
      </w:rPr>
      <w:t>23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D" w14:textId="3DC0A493" w:rsidR="00F831B7" w:rsidRPr="00A66290" w:rsidRDefault="00A66290">
    <w:pPr>
      <w:pBdr>
        <w:top w:val="nil"/>
        <w:left w:val="nil"/>
        <w:bottom w:val="nil"/>
        <w:right w:val="nil"/>
        <w:between w:val="nil"/>
      </w:pBdr>
      <w:tabs>
        <w:tab w:val="center" w:pos="4252"/>
        <w:tab w:val="right" w:pos="8504"/>
      </w:tabs>
      <w:jc w:val="center"/>
      <w:rPr>
        <w:rFonts w:ascii="Cambria" w:eastAsia="Cambria" w:hAnsi="Cambria" w:cs="Cambria"/>
        <w:color w:val="000000"/>
        <w:sz w:val="16"/>
        <w:szCs w:val="16"/>
        <w:lang w:val="pt-PT"/>
      </w:rPr>
    </w:pPr>
    <w:r w:rsidRPr="00A66290">
      <w:rPr>
        <w:rFonts w:ascii="Cambria" w:eastAsia="Cambria" w:hAnsi="Cambria" w:cs="Cambria"/>
        <w:color w:val="000000"/>
        <w:sz w:val="16"/>
        <w:szCs w:val="16"/>
        <w:lang w:val="pt-PT"/>
      </w:rPr>
      <w:t>Evidências e reflexões sobre utilização de recursos educacionais abertos em contexto de pan</w:t>
    </w:r>
    <w:r>
      <w:rPr>
        <w:rFonts w:ascii="Cambria" w:eastAsia="Cambria" w:hAnsi="Cambria" w:cs="Cambria"/>
        <w:color w:val="000000"/>
        <w:sz w:val="16"/>
        <w:szCs w:val="16"/>
        <w:lang w:val="pt-PT"/>
      </w:rPr>
      <w:t>demia</w:t>
    </w:r>
  </w:p>
  <w:p w14:paraId="000000AE" w14:textId="77777777" w:rsidR="00F831B7" w:rsidRPr="00A66290" w:rsidRDefault="00F831B7">
    <w:pPr>
      <w:pBdr>
        <w:top w:val="nil"/>
        <w:left w:val="nil"/>
        <w:bottom w:val="nil"/>
        <w:right w:val="nil"/>
        <w:between w:val="nil"/>
      </w:pBdr>
      <w:tabs>
        <w:tab w:val="center" w:pos="4252"/>
        <w:tab w:val="right" w:pos="8504"/>
        <w:tab w:val="left" w:pos="1155"/>
      </w:tabs>
      <w:jc w:val="center"/>
      <w:rPr>
        <w:rFonts w:eastAsia="Times New Roman"/>
        <w:color w:val="000000"/>
        <w:lang w:val="pt-P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B0" w14:textId="77777777" w:rsidR="00F831B7" w:rsidRDefault="00F831B7">
    <w:pPr>
      <w:pBdr>
        <w:top w:val="nil"/>
        <w:left w:val="nil"/>
        <w:bottom w:val="nil"/>
        <w:right w:val="nil"/>
        <w:between w:val="nil"/>
      </w:pBdr>
      <w:spacing w:line="276" w:lineRule="auto"/>
      <w:rPr>
        <w:rFonts w:ascii="Cambria" w:eastAsia="Cambria" w:hAnsi="Cambria" w:cs="Cambria"/>
        <w:color w:val="000000"/>
        <w:sz w:val="16"/>
        <w:szCs w:val="16"/>
      </w:rPr>
    </w:pPr>
  </w:p>
  <w:tbl>
    <w:tblPr>
      <w:tblStyle w:val="a1"/>
      <w:tblW w:w="9214" w:type="dxa"/>
      <w:tblInd w:w="-6" w:type="dxa"/>
      <w:tblLayout w:type="fixed"/>
      <w:tblLook w:val="0000" w:firstRow="0" w:lastRow="0" w:firstColumn="0" w:lastColumn="0" w:noHBand="0" w:noVBand="0"/>
    </w:tblPr>
    <w:tblGrid>
      <w:gridCol w:w="1237"/>
      <w:gridCol w:w="7977"/>
    </w:tblGrid>
    <w:tr w:rsidR="00F831B7" w14:paraId="313D70D2" w14:textId="77777777">
      <w:trPr>
        <w:trHeight w:val="1312"/>
      </w:trPr>
      <w:tc>
        <w:tcPr>
          <w:tcW w:w="1237" w:type="dxa"/>
        </w:tcPr>
        <w:p w14:paraId="000000B1" w14:textId="5C4C56F4" w:rsidR="00F831B7" w:rsidRDefault="007A7A58">
          <w:pPr>
            <w:pBdr>
              <w:top w:val="nil"/>
              <w:left w:val="nil"/>
              <w:bottom w:val="nil"/>
              <w:right w:val="nil"/>
              <w:between w:val="nil"/>
            </w:pBdr>
            <w:tabs>
              <w:tab w:val="center" w:pos="4252"/>
              <w:tab w:val="right" w:pos="8504"/>
            </w:tabs>
            <w:rPr>
              <w:rFonts w:eastAsia="Times New Roman"/>
              <w:color w:val="000000"/>
              <w:sz w:val="10"/>
              <w:szCs w:val="10"/>
            </w:rPr>
          </w:pPr>
          <w:r>
            <w:rPr>
              <w:noProof/>
            </w:rPr>
            <w:drawing>
              <wp:inline distT="0" distB="0" distL="0" distR="0" wp14:anchorId="77B0B630" wp14:editId="514A50B0">
                <wp:extent cx="639445" cy="639445"/>
                <wp:effectExtent l="0" t="0" r="8255" b="8255"/>
                <wp:docPr id="2" name="Imagem 2"/>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9445" cy="639445"/>
                        </a:xfrm>
                        <a:prstGeom prst="rect">
                          <a:avLst/>
                        </a:prstGeom>
                        <a:noFill/>
                        <a:ln>
                          <a:noFill/>
                        </a:ln>
                      </pic:spPr>
                    </pic:pic>
                  </a:graphicData>
                </a:graphic>
              </wp:inline>
            </w:drawing>
          </w:r>
        </w:p>
      </w:tc>
      <w:tc>
        <w:tcPr>
          <w:tcW w:w="7977" w:type="dxa"/>
        </w:tcPr>
        <w:p w14:paraId="000000B2" w14:textId="7738CDB6" w:rsidR="00F831B7" w:rsidRPr="00352A91" w:rsidRDefault="00083EDE">
          <w:pPr>
            <w:widowControl/>
            <w:pBdr>
              <w:top w:val="nil"/>
              <w:left w:val="nil"/>
              <w:bottom w:val="nil"/>
              <w:right w:val="nil"/>
              <w:between w:val="nil"/>
            </w:pBdr>
            <w:spacing w:after="120" w:line="360" w:lineRule="auto"/>
            <w:jc w:val="center"/>
            <w:rPr>
              <w:rFonts w:ascii="Cambria" w:eastAsia="Cambria" w:hAnsi="Cambria" w:cs="Cambria"/>
              <w:b/>
              <w:color w:val="000000"/>
              <w:lang w:val="pt-PT"/>
            </w:rPr>
          </w:pPr>
          <w:r w:rsidRPr="00352A91">
            <w:rPr>
              <w:rFonts w:ascii="Cambria" w:eastAsia="Cambria" w:hAnsi="Cambria" w:cs="Cambria"/>
              <w:b/>
              <w:color w:val="000000"/>
              <w:lang w:val="pt-PT"/>
            </w:rPr>
            <w:t>1</w:t>
          </w:r>
          <w:r w:rsidR="00352A91" w:rsidRPr="00352A91">
            <w:rPr>
              <w:rFonts w:ascii="Cambria" w:eastAsia="Cambria" w:hAnsi="Cambria" w:cs="Cambria"/>
              <w:b/>
              <w:color w:val="000000"/>
              <w:lang w:val="pt-PT"/>
            </w:rPr>
            <w:t>4</w:t>
          </w:r>
          <w:r w:rsidRPr="00352A91">
            <w:rPr>
              <w:rFonts w:ascii="Cambria" w:eastAsia="Cambria" w:hAnsi="Cambria" w:cs="Cambria"/>
              <w:b/>
              <w:color w:val="000000"/>
              <w:lang w:val="pt-PT"/>
            </w:rPr>
            <w:t>º Congresso Nacional de Bibliotecários, Arquivistas e Documentalistas</w:t>
          </w:r>
        </w:p>
        <w:p w14:paraId="000000B3" w14:textId="77777777" w:rsidR="00F831B7" w:rsidRDefault="00083EDE">
          <w:pPr>
            <w:keepNext/>
            <w:widowControl/>
            <w:pBdr>
              <w:top w:val="nil"/>
              <w:left w:val="nil"/>
              <w:bottom w:val="nil"/>
              <w:right w:val="nil"/>
              <w:between w:val="nil"/>
            </w:pBdr>
            <w:spacing w:after="160" w:line="300" w:lineRule="auto"/>
            <w:jc w:val="center"/>
            <w:rPr>
              <w:rFonts w:eastAsia="Times New Roman"/>
              <w:color w:val="000000"/>
              <w:sz w:val="26"/>
              <w:szCs w:val="26"/>
              <w:highlight w:val="white"/>
            </w:rPr>
          </w:pPr>
          <w:r>
            <w:rPr>
              <w:rFonts w:ascii="Cambria" w:eastAsia="Cambria" w:hAnsi="Cambria" w:cs="Cambria"/>
              <w:color w:val="000000"/>
              <w:sz w:val="22"/>
              <w:szCs w:val="22"/>
              <w:highlight w:val="white"/>
            </w:rPr>
            <w:t>SHORT PAPER</w:t>
          </w:r>
        </w:p>
      </w:tc>
    </w:tr>
  </w:tbl>
  <w:p w14:paraId="000000B4" w14:textId="77777777" w:rsidR="00F831B7" w:rsidRDefault="00F831B7">
    <w:pPr>
      <w:pBdr>
        <w:top w:val="nil"/>
        <w:left w:val="nil"/>
        <w:bottom w:val="nil"/>
        <w:right w:val="nil"/>
        <w:between w:val="nil"/>
      </w:pBdr>
      <w:tabs>
        <w:tab w:val="center" w:pos="4252"/>
        <w:tab w:val="right" w:pos="8504"/>
      </w:tabs>
      <w:rPr>
        <w:rFonts w:eastAsia="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E43609"/>
    <w:multiLevelType w:val="multilevel"/>
    <w:tmpl w:val="6E0E903C"/>
    <w:lvl w:ilvl="0">
      <w:start w:val="1"/>
      <w:numFmt w:val="decimal"/>
      <w:pStyle w:val="Els-1storder-head"/>
      <w:lvlText w:val="%1."/>
      <w:lvlJc w:val="left"/>
      <w:pPr>
        <w:tabs>
          <w:tab w:val="num" w:pos="720"/>
        </w:tabs>
        <w:ind w:left="720" w:hanging="720"/>
      </w:pPr>
    </w:lvl>
    <w:lvl w:ilvl="1">
      <w:start w:val="1"/>
      <w:numFmt w:val="decimal"/>
      <w:pStyle w:val="Els-2ndorder-head"/>
      <w:lvlText w:val="%2."/>
      <w:lvlJc w:val="left"/>
      <w:pPr>
        <w:tabs>
          <w:tab w:val="num" w:pos="1440"/>
        </w:tabs>
        <w:ind w:left="1440" w:hanging="720"/>
      </w:pPr>
    </w:lvl>
    <w:lvl w:ilvl="2">
      <w:start w:val="1"/>
      <w:numFmt w:val="decimal"/>
      <w:pStyle w:val="Els-3rdorder-head"/>
      <w:lvlText w:val="%3."/>
      <w:lvlJc w:val="left"/>
      <w:pPr>
        <w:tabs>
          <w:tab w:val="num" w:pos="2160"/>
        </w:tabs>
        <w:ind w:left="2160" w:hanging="720"/>
      </w:pPr>
    </w:lvl>
    <w:lvl w:ilvl="3">
      <w:start w:val="1"/>
      <w:numFmt w:val="decimal"/>
      <w:pStyle w:val="Els-4thorder-head"/>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1B7"/>
    <w:rsid w:val="000323CF"/>
    <w:rsid w:val="00050918"/>
    <w:rsid w:val="00083EDE"/>
    <w:rsid w:val="00130459"/>
    <w:rsid w:val="00136D5D"/>
    <w:rsid w:val="00153774"/>
    <w:rsid w:val="00173CDA"/>
    <w:rsid w:val="001C4AE7"/>
    <w:rsid w:val="001F127C"/>
    <w:rsid w:val="00216D5B"/>
    <w:rsid w:val="002374F1"/>
    <w:rsid w:val="00282AF9"/>
    <w:rsid w:val="0029099A"/>
    <w:rsid w:val="00293A65"/>
    <w:rsid w:val="00352A91"/>
    <w:rsid w:val="003B1F09"/>
    <w:rsid w:val="003B6BD4"/>
    <w:rsid w:val="00403F7F"/>
    <w:rsid w:val="005A7C96"/>
    <w:rsid w:val="005E6E22"/>
    <w:rsid w:val="00644A01"/>
    <w:rsid w:val="00655A25"/>
    <w:rsid w:val="006A0EB1"/>
    <w:rsid w:val="006B5758"/>
    <w:rsid w:val="006C6068"/>
    <w:rsid w:val="006D428F"/>
    <w:rsid w:val="006E49FB"/>
    <w:rsid w:val="00702CAE"/>
    <w:rsid w:val="007111DF"/>
    <w:rsid w:val="0071415E"/>
    <w:rsid w:val="00791E14"/>
    <w:rsid w:val="007A278B"/>
    <w:rsid w:val="007A7A58"/>
    <w:rsid w:val="007D1583"/>
    <w:rsid w:val="008314D0"/>
    <w:rsid w:val="008F264E"/>
    <w:rsid w:val="0090583F"/>
    <w:rsid w:val="0095483D"/>
    <w:rsid w:val="00974583"/>
    <w:rsid w:val="00976546"/>
    <w:rsid w:val="00A00710"/>
    <w:rsid w:val="00A27AD1"/>
    <w:rsid w:val="00A35F1C"/>
    <w:rsid w:val="00A66290"/>
    <w:rsid w:val="00A94D0F"/>
    <w:rsid w:val="00B03519"/>
    <w:rsid w:val="00B35761"/>
    <w:rsid w:val="00B36BB3"/>
    <w:rsid w:val="00BE657F"/>
    <w:rsid w:val="00C14753"/>
    <w:rsid w:val="00C2184D"/>
    <w:rsid w:val="00C7059E"/>
    <w:rsid w:val="00CD477F"/>
    <w:rsid w:val="00CE2FA2"/>
    <w:rsid w:val="00E70FE0"/>
    <w:rsid w:val="00E841F1"/>
    <w:rsid w:val="00E93947"/>
    <w:rsid w:val="00E95178"/>
    <w:rsid w:val="00F154F3"/>
    <w:rsid w:val="00F519DA"/>
    <w:rsid w:val="00F831B7"/>
    <w:rsid w:val="00FB6EE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6C5A2"/>
  <w15:docId w15:val="{09E9D7B6-C21B-483C-B433-E06CC8F41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PT" w:eastAsia="pt-PT"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46E3D"/>
    <w:rPr>
      <w:rFonts w:eastAsia="SimSun"/>
      <w:lang w:val="en-GB" w:eastAsia="en-US"/>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Cabealho">
    <w:name w:val="header"/>
    <w:basedOn w:val="Normal"/>
    <w:link w:val="CabealhoCarter"/>
    <w:unhideWhenUsed/>
    <w:rsid w:val="00646E3D"/>
    <w:pPr>
      <w:tabs>
        <w:tab w:val="center" w:pos="4252"/>
        <w:tab w:val="right" w:pos="8504"/>
      </w:tabs>
    </w:pPr>
  </w:style>
  <w:style w:type="character" w:customStyle="1" w:styleId="CabealhoCarter">
    <w:name w:val="Cabeçalho Caráter"/>
    <w:basedOn w:val="Tipodeletrapredefinidodopargrafo"/>
    <w:link w:val="Cabealho"/>
    <w:rsid w:val="00646E3D"/>
  </w:style>
  <w:style w:type="paragraph" w:styleId="Rodap">
    <w:name w:val="footer"/>
    <w:basedOn w:val="Normal"/>
    <w:link w:val="RodapCarter"/>
    <w:uiPriority w:val="99"/>
    <w:unhideWhenUsed/>
    <w:rsid w:val="00646E3D"/>
    <w:pPr>
      <w:tabs>
        <w:tab w:val="center" w:pos="4252"/>
        <w:tab w:val="right" w:pos="8504"/>
      </w:tabs>
    </w:pPr>
  </w:style>
  <w:style w:type="character" w:customStyle="1" w:styleId="RodapCarter">
    <w:name w:val="Rodapé Caráter"/>
    <w:basedOn w:val="Tipodeletrapredefinidodopargrafo"/>
    <w:link w:val="Rodap"/>
    <w:uiPriority w:val="99"/>
    <w:rsid w:val="00646E3D"/>
  </w:style>
  <w:style w:type="paragraph" w:customStyle="1" w:styleId="Els-Abstract-head">
    <w:name w:val="Els-Abstract-head"/>
    <w:next w:val="Normal"/>
    <w:rsid w:val="00646E3D"/>
    <w:pPr>
      <w:keepNext/>
      <w:pBdr>
        <w:top w:val="single" w:sz="4" w:space="10" w:color="auto"/>
      </w:pBdr>
      <w:suppressAutoHyphens/>
      <w:spacing w:after="220" w:line="220" w:lineRule="exact"/>
    </w:pPr>
    <w:rPr>
      <w:rFonts w:eastAsia="SimSun"/>
      <w:b/>
      <w:sz w:val="18"/>
      <w:lang w:val="en-US" w:eastAsia="en-US"/>
    </w:rPr>
  </w:style>
  <w:style w:type="paragraph" w:customStyle="1" w:styleId="Els-Affiliation">
    <w:name w:val="Els-Affiliation"/>
    <w:next w:val="Els-Abstract-head"/>
    <w:rsid w:val="00646E3D"/>
    <w:pPr>
      <w:suppressAutoHyphens/>
      <w:spacing w:line="200" w:lineRule="exact"/>
      <w:jc w:val="center"/>
    </w:pPr>
    <w:rPr>
      <w:rFonts w:eastAsia="SimSun"/>
      <w:i/>
      <w:noProof/>
      <w:sz w:val="16"/>
      <w:lang w:val="en-US" w:eastAsia="en-US"/>
    </w:rPr>
  </w:style>
  <w:style w:type="paragraph" w:customStyle="1" w:styleId="Els-Author">
    <w:name w:val="Els-Author"/>
    <w:next w:val="Normal"/>
    <w:rsid w:val="00646E3D"/>
    <w:pPr>
      <w:keepNext/>
      <w:suppressAutoHyphens/>
      <w:spacing w:line="300" w:lineRule="exact"/>
      <w:jc w:val="center"/>
    </w:pPr>
    <w:rPr>
      <w:rFonts w:eastAsia="SimSun"/>
      <w:noProof/>
      <w:sz w:val="26"/>
      <w:lang w:val="en-US" w:eastAsia="en-US"/>
    </w:rPr>
  </w:style>
  <w:style w:type="paragraph" w:customStyle="1" w:styleId="Els-Title">
    <w:name w:val="Els-Title"/>
    <w:next w:val="Els-Author"/>
    <w:autoRedefine/>
    <w:rsid w:val="00117844"/>
    <w:pPr>
      <w:suppressAutoHyphens/>
      <w:spacing w:after="120" w:line="360" w:lineRule="auto"/>
      <w:jc w:val="center"/>
    </w:pPr>
    <w:rPr>
      <w:rFonts w:ascii="Cambria" w:eastAsia="SimSun" w:hAnsi="Cambria"/>
      <w:b/>
      <w:szCs w:val="24"/>
      <w:lang w:eastAsia="en-US"/>
    </w:rPr>
  </w:style>
  <w:style w:type="character" w:styleId="Hiperligao">
    <w:name w:val="Hyperlink"/>
    <w:semiHidden/>
    <w:rsid w:val="00646E3D"/>
    <w:rPr>
      <w:color w:val="auto"/>
      <w:sz w:val="16"/>
      <w:u w:val="none"/>
    </w:rPr>
  </w:style>
  <w:style w:type="paragraph" w:customStyle="1" w:styleId="Els-1storder-head">
    <w:name w:val="Els-1storder-head"/>
    <w:next w:val="Normal"/>
    <w:rsid w:val="00646E3D"/>
    <w:pPr>
      <w:keepNext/>
      <w:numPr>
        <w:numId w:val="1"/>
      </w:numPr>
      <w:suppressAutoHyphens/>
      <w:spacing w:before="240" w:after="240" w:line="240" w:lineRule="exact"/>
    </w:pPr>
    <w:rPr>
      <w:rFonts w:eastAsia="SimSun"/>
      <w:b/>
      <w:lang w:val="en-US" w:eastAsia="en-US"/>
    </w:rPr>
  </w:style>
  <w:style w:type="paragraph" w:customStyle="1" w:styleId="Els-2ndorder-head">
    <w:name w:val="Els-2ndorder-head"/>
    <w:next w:val="Normal"/>
    <w:rsid w:val="00646E3D"/>
    <w:pPr>
      <w:keepNext/>
      <w:numPr>
        <w:ilvl w:val="1"/>
        <w:numId w:val="1"/>
      </w:numPr>
      <w:suppressAutoHyphens/>
      <w:spacing w:before="240" w:after="240" w:line="240" w:lineRule="exact"/>
    </w:pPr>
    <w:rPr>
      <w:rFonts w:eastAsia="SimSun"/>
      <w:i/>
      <w:lang w:val="en-US" w:eastAsia="en-US"/>
    </w:rPr>
  </w:style>
  <w:style w:type="paragraph" w:customStyle="1" w:styleId="Els-3rdorder-head">
    <w:name w:val="Els-3rdorder-head"/>
    <w:next w:val="Normal"/>
    <w:rsid w:val="00646E3D"/>
    <w:pPr>
      <w:keepNext/>
      <w:numPr>
        <w:ilvl w:val="2"/>
        <w:numId w:val="1"/>
      </w:numPr>
      <w:suppressAutoHyphens/>
      <w:spacing w:before="240" w:line="240" w:lineRule="exact"/>
    </w:pPr>
    <w:rPr>
      <w:rFonts w:eastAsia="SimSun"/>
      <w:i/>
      <w:lang w:val="en-US" w:eastAsia="en-US"/>
    </w:rPr>
  </w:style>
  <w:style w:type="paragraph" w:customStyle="1" w:styleId="Els-4thorder-head">
    <w:name w:val="Els-4thorder-head"/>
    <w:next w:val="Normal"/>
    <w:rsid w:val="00646E3D"/>
    <w:pPr>
      <w:keepNext/>
      <w:numPr>
        <w:ilvl w:val="3"/>
        <w:numId w:val="1"/>
      </w:numPr>
      <w:suppressAutoHyphens/>
      <w:spacing w:before="240" w:line="240" w:lineRule="exact"/>
    </w:pPr>
    <w:rPr>
      <w:rFonts w:eastAsia="SimSun"/>
      <w:i/>
      <w:lang w:val="en-US" w:eastAsia="en-US"/>
    </w:rPr>
  </w:style>
  <w:style w:type="paragraph" w:customStyle="1" w:styleId="Els-keywords">
    <w:name w:val="Els-keywords"/>
    <w:next w:val="Normal"/>
    <w:rsid w:val="00646E3D"/>
    <w:pPr>
      <w:pBdr>
        <w:bottom w:val="single" w:sz="4" w:space="10" w:color="auto"/>
      </w:pBdr>
      <w:spacing w:after="200" w:line="200" w:lineRule="exact"/>
    </w:pPr>
    <w:rPr>
      <w:rFonts w:eastAsia="SimSun"/>
      <w:noProof/>
      <w:sz w:val="16"/>
      <w:lang w:val="en-US" w:eastAsia="en-US"/>
    </w:rPr>
  </w:style>
  <w:style w:type="paragraph" w:styleId="Textodebalo">
    <w:name w:val="Balloon Text"/>
    <w:basedOn w:val="Normal"/>
    <w:link w:val="TextodebaloCarter"/>
    <w:uiPriority w:val="99"/>
    <w:semiHidden/>
    <w:unhideWhenUsed/>
    <w:rsid w:val="0085406B"/>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85406B"/>
    <w:rPr>
      <w:rFonts w:ascii="Tahoma" w:eastAsia="SimSun" w:hAnsi="Tahoma" w:cs="Tahoma"/>
      <w:sz w:val="16"/>
      <w:szCs w:val="16"/>
      <w:lang w:val="en-GB" w:eastAsia="en-US"/>
    </w:rPr>
  </w:style>
  <w:style w:type="table" w:styleId="TabelacomGrelha">
    <w:name w:val="Table Grid"/>
    <w:basedOn w:val="Tabelanormal"/>
    <w:uiPriority w:val="59"/>
    <w:rsid w:val="009F3D4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9F3D42"/>
    <w:pPr>
      <w:widowControl/>
      <w:spacing w:after="200" w:line="276" w:lineRule="auto"/>
      <w:jc w:val="both"/>
    </w:pPr>
    <w:rPr>
      <w:rFonts w:ascii="Calibri" w:eastAsia="Times New Roman" w:hAnsi="Calibri"/>
      <w:b/>
      <w:bCs/>
      <w:caps/>
      <w:sz w:val="16"/>
      <w:szCs w:val="18"/>
      <w:lang w:val="pt-PT"/>
    </w:rPr>
  </w:style>
  <w:style w:type="paragraph" w:styleId="NormalWeb">
    <w:name w:val="Normal (Web)"/>
    <w:basedOn w:val="Normal"/>
    <w:uiPriority w:val="99"/>
    <w:unhideWhenUsed/>
    <w:rsid w:val="009F3D42"/>
    <w:pPr>
      <w:widowControl/>
      <w:spacing w:before="100" w:beforeAutospacing="1" w:after="100" w:afterAutospacing="1"/>
    </w:pPr>
    <w:rPr>
      <w:rFonts w:eastAsia="Times New Roman"/>
      <w:sz w:val="24"/>
      <w:szCs w:val="24"/>
      <w:lang w:val="pt-PT" w:eastAsia="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elanormal"/>
    <w:tblPr>
      <w:tblStyleRowBandSize w:val="1"/>
      <w:tblStyleColBandSize w:val="1"/>
    </w:tblPr>
  </w:style>
  <w:style w:type="table" w:customStyle="1" w:styleId="a0">
    <w:basedOn w:val="Tabelanormal"/>
    <w:tblPr>
      <w:tblStyleRowBandSize w:val="1"/>
      <w:tblStyleColBandSize w:val="1"/>
    </w:tblPr>
  </w:style>
  <w:style w:type="table" w:customStyle="1" w:styleId="a1">
    <w:basedOn w:val="Tabelanormal"/>
    <w:tblPr>
      <w:tblStyleRowBandSize w:val="1"/>
      <w:tblStyleColBandSize w:val="1"/>
      <w:tblCellMar>
        <w:left w:w="115" w:type="dxa"/>
        <w:right w:w="115" w:type="dxa"/>
      </w:tblCellMar>
    </w:tblPr>
  </w:style>
  <w:style w:type="paragraph" w:styleId="Textodecomentrio">
    <w:name w:val="annotation text"/>
    <w:basedOn w:val="Normal"/>
    <w:link w:val="TextodecomentrioCarter"/>
    <w:uiPriority w:val="99"/>
    <w:semiHidden/>
    <w:unhideWhenUsed/>
  </w:style>
  <w:style w:type="character" w:customStyle="1" w:styleId="TextodecomentrioCarter">
    <w:name w:val="Texto de comentário Caráter"/>
    <w:basedOn w:val="Tipodeletrapredefinidodopargrafo"/>
    <w:link w:val="Textodecomentrio"/>
    <w:uiPriority w:val="99"/>
    <w:semiHidden/>
    <w:rPr>
      <w:rFonts w:eastAsia="SimSun"/>
      <w:lang w:val="en-GB" w:eastAsia="en-US"/>
    </w:rPr>
  </w:style>
  <w:style w:type="character" w:styleId="Refdecomentrio">
    <w:name w:val="annotation reference"/>
    <w:basedOn w:val="Tipodeletrapredefinidodopargrafo"/>
    <w:uiPriority w:val="99"/>
    <w:semiHidden/>
    <w:unhideWhenUsed/>
    <w:rPr>
      <w:sz w:val="16"/>
      <w:szCs w:val="16"/>
    </w:rPr>
  </w:style>
  <w:style w:type="character" w:styleId="nfase">
    <w:name w:val="Emphasis"/>
    <w:basedOn w:val="Tipodeletrapredefinidodopargrafo"/>
    <w:uiPriority w:val="20"/>
    <w:qFormat/>
    <w:rsid w:val="007111DF"/>
    <w:rPr>
      <w:i/>
      <w:iCs/>
    </w:rPr>
  </w:style>
  <w:style w:type="paragraph" w:styleId="PargrafodaLista">
    <w:name w:val="List Paragraph"/>
    <w:basedOn w:val="Normal"/>
    <w:uiPriority w:val="34"/>
    <w:qFormat/>
    <w:rsid w:val="007111DF"/>
    <w:pPr>
      <w:ind w:left="720"/>
      <w:contextualSpacing/>
    </w:pPr>
  </w:style>
  <w:style w:type="character" w:styleId="MenoNoResolvida">
    <w:name w:val="Unresolved Mention"/>
    <w:basedOn w:val="Tipodeletrapredefinidodopargrafo"/>
    <w:uiPriority w:val="99"/>
    <w:semiHidden/>
    <w:unhideWhenUsed/>
    <w:rsid w:val="008314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gloria.bastos@uab.pt" TargetMode="External"/><Relationship Id="rId13" Type="http://schemas.openxmlformats.org/officeDocument/2006/relationships/hyperlink" Target="https://er.educause.edu/articles/2020/3/the-difference-between-emergency-remote-teaching-and-online-learnin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doi.org/10.2218/ijdc.v1i1.2"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vista.ibict.br/ciinf/article/view/4895" TargetMode="External"/><Relationship Id="rId5" Type="http://schemas.openxmlformats.org/officeDocument/2006/relationships/webSettings" Target="webSettings.xml"/><Relationship Id="rId15" Type="http://schemas.openxmlformats.org/officeDocument/2006/relationships/hyperlink" Target="https://unesdoc.unesco.org/ark:/48223/pf0000213605" TargetMode="External"/><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igitalcommons.wou.edu/cgi/viewcontent.cgi?article=1006&amp;context=fac_pubs"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Folha5!$C$24:$C$27</c:f>
              <c:numCache>
                <c:formatCode>General</c:formatCode>
                <c:ptCount val="4"/>
                <c:pt idx="0">
                  <c:v>2018</c:v>
                </c:pt>
                <c:pt idx="1">
                  <c:v>2019</c:v>
                </c:pt>
                <c:pt idx="2">
                  <c:v>2020</c:v>
                </c:pt>
                <c:pt idx="3">
                  <c:v>2021</c:v>
                </c:pt>
              </c:numCache>
              <c:extLst/>
            </c:numRef>
          </c:cat>
          <c:val>
            <c:numRef>
              <c:f>Folha5!$D$24:$D$27</c:f>
              <c:numCache>
                <c:formatCode>General</c:formatCode>
                <c:ptCount val="4"/>
                <c:pt idx="0">
                  <c:v>212</c:v>
                </c:pt>
                <c:pt idx="1">
                  <c:v>368</c:v>
                </c:pt>
                <c:pt idx="2">
                  <c:v>363</c:v>
                </c:pt>
                <c:pt idx="3">
                  <c:v>310</c:v>
                </c:pt>
              </c:numCache>
              <c:extLst/>
            </c:numRef>
          </c:val>
          <c:extLst>
            <c:ext xmlns:c16="http://schemas.microsoft.com/office/drawing/2014/chart" uri="{C3380CC4-5D6E-409C-BE32-E72D297353CC}">
              <c16:uniqueId val="{00000000-A33A-44F5-948A-F4274A92D84E}"/>
            </c:ext>
          </c:extLst>
        </c:ser>
        <c:dLbls>
          <c:showLegendKey val="0"/>
          <c:showVal val="0"/>
          <c:showCatName val="0"/>
          <c:showSerName val="0"/>
          <c:showPercent val="0"/>
          <c:showBubbleSize val="0"/>
        </c:dLbls>
        <c:gapWidth val="219"/>
        <c:overlap val="-27"/>
        <c:axId val="335024424"/>
        <c:axId val="335027376"/>
      </c:barChart>
      <c:catAx>
        <c:axId val="335024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35027376"/>
        <c:crosses val="autoZero"/>
        <c:auto val="1"/>
        <c:lblAlgn val="ctr"/>
        <c:lblOffset val="100"/>
        <c:noMultiLvlLbl val="0"/>
      </c:catAx>
      <c:valAx>
        <c:axId val="335027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35024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Folha5!$N$24:$N$27</c:f>
              <c:numCache>
                <c:formatCode>General</c:formatCode>
                <c:ptCount val="4"/>
                <c:pt idx="0">
                  <c:v>2018</c:v>
                </c:pt>
                <c:pt idx="1">
                  <c:v>2019</c:v>
                </c:pt>
                <c:pt idx="2">
                  <c:v>2020</c:v>
                </c:pt>
                <c:pt idx="3">
                  <c:v>2021</c:v>
                </c:pt>
              </c:numCache>
              <c:extLst/>
            </c:numRef>
          </c:cat>
          <c:val>
            <c:numRef>
              <c:f>Folha5!$O$24:$O$27</c:f>
              <c:numCache>
                <c:formatCode>General</c:formatCode>
                <c:ptCount val="4"/>
                <c:pt idx="0">
                  <c:v>183893</c:v>
                </c:pt>
                <c:pt idx="1">
                  <c:v>234816</c:v>
                </c:pt>
                <c:pt idx="2">
                  <c:v>269329</c:v>
                </c:pt>
                <c:pt idx="3">
                  <c:v>313634</c:v>
                </c:pt>
              </c:numCache>
              <c:extLst/>
            </c:numRef>
          </c:val>
          <c:extLst>
            <c:ext xmlns:c16="http://schemas.microsoft.com/office/drawing/2014/chart" uri="{C3380CC4-5D6E-409C-BE32-E72D297353CC}">
              <c16:uniqueId val="{00000001-C233-40C0-9A12-A8F7EF441C35}"/>
            </c:ext>
          </c:extLst>
        </c:ser>
        <c:dLbls>
          <c:dLblPos val="outEnd"/>
          <c:showLegendKey val="0"/>
          <c:showVal val="1"/>
          <c:showCatName val="0"/>
          <c:showSerName val="0"/>
          <c:showPercent val="0"/>
          <c:showBubbleSize val="0"/>
        </c:dLbls>
        <c:gapWidth val="219"/>
        <c:overlap val="-27"/>
        <c:axId val="431655760"/>
        <c:axId val="431652152"/>
      </c:barChart>
      <c:catAx>
        <c:axId val="431655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31652152"/>
        <c:crosses val="autoZero"/>
        <c:auto val="1"/>
        <c:lblAlgn val="ctr"/>
        <c:lblOffset val="100"/>
        <c:noMultiLvlLbl val="0"/>
      </c:catAx>
      <c:valAx>
        <c:axId val="431652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316557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ka1ynBc2X08DSwRKdsTMKTQAhg==">AMUW2mV61eWwp/CWSjw9aY4pVZqqjTdny9mPpkd/kA/Elld/VYmdXg6UldLZ4/C0HDUSrntlJ0yvAymCNW+khGJnHEXNT57FmdshOX6SRXVPoIrZ3Sj8IntWVG+UefOzA0rfC91G3vFXaxUNi2zXBxLzx6iFnFzQq4JcVgX5zF903esJ/egy222QBkJ+MOj+5AzT/9Rq6GzrcbF0cGLQjDjGw9+s8Ako640mYANZIP9ItNaXPk98pTTgzSSsUiAz854zmslfcKgSYV/1hoRTYPwDmRjRePNoi+j5AD6zN3y/LlddEcr1K8Ez02r7a2k13rH/OSFe43urfIXUvevvZYmbP6k5S023p2RI5Z6MWJEhI4+t488Hwc0ouSHOsmCv/PWqY3wYL71lDJYXqQ7zDlyZ8RGT5WfTIkTONfQ4KbINvC0q6Ku6gRCIfhzRtSGh/1EXlt4z6csoBmE/dz0J3cpg/JBhfk4TnKTJ/3Q00vtKaYqn49qMJUmQVe5YhZxuDo/svJtkIsjob514w8LkLYXTsaej2FLKNDmXhkJa5yoyyZT32CNsIQUNXzx2//jElelPCFcKRi7BhFGP1Kb0JFTs8zezqZX+52cOLW3zGNB4tTAD6fgyZ3MaGb+F4swsVUJU6LqWDbwXCUzMnChzDT4MjDz5ISlPkSMGSyXvXpETygipKZoAZhqOFkAoUKyE0quB1ehtM9D6BQHGaY9XD3He78C+5m/NuFU8HTG1ZkOvLC8T62TpggbvZ6x2XmjypLVeTIi00ge3TdxMUGclUR7zF9O1qklJNPIDWBYsOVH5OtCvmhTzqxmom4yDRV6cR5JvUL792267bgYVux1rE+Kl9vFEQSJY/gYFywnjPX/acgGtToHPI6uwgzAAUybFSeu73I/VCWbJpfreI2MftZOaQmR1Zi+txQXhjn9fSajXkq8jhdlMceLOuNEWivMkDLyY6QxlQfC1Mg/SOd+E8NPgT2o5T2OFdjY8BpXhwm+EuDvDV54PMMaDeU7kKUhN8Ltq2XUPFSmH2SSNpW5GfDqISLN8yDzo7k9IgXvDsZc94o/InjyPGGnPzS5B87UkzNkmKOpwQ4kwX5ZqoNkKrJFxzCkIdLvevxDLUz3IEQj5rMm7PmS0LO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1916</Words>
  <Characters>10349</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Principe</dc:creator>
  <cp:lastModifiedBy>Madalena Carvalho</cp:lastModifiedBy>
  <cp:revision>2</cp:revision>
  <dcterms:created xsi:type="dcterms:W3CDTF">2023-04-10T15:29:00Z</dcterms:created>
  <dcterms:modified xsi:type="dcterms:W3CDTF">2023-04-10T15:29:00Z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94b015b0bad9a5dab521697b380b0e0c940fcd068f2845a7bbdf63cf224c6fe4</vt:lpwstr>
  </property>
</Properties>
</file>