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FD7" w:rsidRPr="00FF0EA2" w:rsidRDefault="00B61FD7" w:rsidP="00350E1B">
      <w:pPr>
        <w:pStyle w:val="NormalWeb"/>
        <w:jc w:val="both"/>
        <w:rPr>
          <w:rFonts w:ascii="Arial" w:hAnsi="Arial" w:cs="Arial"/>
          <w:b/>
          <w:sz w:val="22"/>
          <w:szCs w:val="22"/>
        </w:rPr>
      </w:pPr>
      <w:r w:rsidRPr="00FF0EA2">
        <w:rPr>
          <w:rFonts w:ascii="Arial" w:hAnsi="Arial" w:cs="Arial"/>
          <w:b/>
          <w:sz w:val="22"/>
          <w:szCs w:val="22"/>
        </w:rPr>
        <w:t xml:space="preserve">As </w:t>
      </w:r>
      <w:proofErr w:type="spellStart"/>
      <w:r w:rsidRPr="00FF0EA2">
        <w:rPr>
          <w:rFonts w:ascii="Arial" w:hAnsi="Arial" w:cs="Arial"/>
          <w:b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b/>
          <w:sz w:val="22"/>
          <w:szCs w:val="22"/>
        </w:rPr>
        <w:t xml:space="preserve"> são o Ritmo da Economia</w:t>
      </w:r>
    </w:p>
    <w:p w:rsidR="007121AB" w:rsidRPr="00FF0EA2" w:rsidRDefault="007121AB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>As Pequenas e Médias Empresas (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) dão ritmo à economia, tanto em Portugal como na Europa. Representam mais de 99% do tecido empresarial, geram dois terços do emprego e são determinantes para a inovação, a coesão territorial e a criação de valor. Em todo o país, do litoral ao interior, são pilares do desenvolvimento económico local. No contexto europeu, desempenham também um papel central na </w:t>
      </w:r>
      <w:proofErr w:type="spellStart"/>
      <w:r w:rsidRPr="00FF0EA2">
        <w:rPr>
          <w:rFonts w:ascii="Arial" w:hAnsi="Arial" w:cs="Arial"/>
          <w:sz w:val="22"/>
          <w:szCs w:val="22"/>
        </w:rPr>
        <w:t>reindustrialização</w:t>
      </w:r>
      <w:proofErr w:type="spellEnd"/>
      <w:r w:rsidRPr="00FF0EA2">
        <w:rPr>
          <w:rFonts w:ascii="Arial" w:hAnsi="Arial" w:cs="Arial"/>
          <w:sz w:val="22"/>
          <w:szCs w:val="22"/>
        </w:rPr>
        <w:t>, na transição digital e na afirmação da competitividade global.</w:t>
      </w:r>
    </w:p>
    <w:p w:rsidR="007121AB" w:rsidRPr="00FF0EA2" w:rsidRDefault="007121AB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 xml:space="preserve">Contudo, importa reconhecer que o peso numérico das 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não reflete, por si só, a sua capacidade competitiva ou o seu impacto económico. Portugal e a Alemanha apresentam proporções semelhantes de 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bookmarkStart w:id="0" w:name="_GoBack"/>
      <w:bookmarkEnd w:id="0"/>
      <w:proofErr w:type="spellEnd"/>
      <w:r w:rsidRPr="00FF0EA2">
        <w:rPr>
          <w:rFonts w:ascii="Arial" w:hAnsi="Arial" w:cs="Arial"/>
          <w:sz w:val="22"/>
          <w:szCs w:val="22"/>
        </w:rPr>
        <w:t xml:space="preserve">, mas o </w:t>
      </w:r>
      <w:hyperlink r:id="rId4" w:history="1">
        <w:proofErr w:type="spellStart"/>
        <w:r w:rsidRPr="00FF0EA2">
          <w:rPr>
            <w:rStyle w:val="Hiperligao"/>
            <w:rFonts w:ascii="Arial" w:hAnsi="Arial" w:cs="Arial"/>
            <w:sz w:val="22"/>
            <w:szCs w:val="22"/>
          </w:rPr>
          <w:t>Mittelstand</w:t>
        </w:r>
        <w:proofErr w:type="spellEnd"/>
        <w:r w:rsidRPr="00FF0EA2">
          <w:rPr>
            <w:rStyle w:val="Hiperligao"/>
            <w:rFonts w:ascii="Arial" w:hAnsi="Arial" w:cs="Arial"/>
            <w:sz w:val="22"/>
            <w:szCs w:val="22"/>
          </w:rPr>
          <w:t xml:space="preserve"> alemão</w:t>
        </w:r>
      </w:hyperlink>
      <w:r w:rsidRPr="00FF0EA2">
        <w:rPr>
          <w:rStyle w:val="Forte"/>
          <w:rFonts w:ascii="Arial" w:hAnsi="Arial" w:cs="Arial"/>
          <w:b w:val="0"/>
          <w:sz w:val="22"/>
          <w:szCs w:val="22"/>
        </w:rPr>
        <w:t xml:space="preserve"> </w:t>
      </w:r>
      <w:r w:rsidRPr="00FF0EA2">
        <w:rPr>
          <w:rFonts w:ascii="Arial" w:hAnsi="Arial" w:cs="Arial"/>
          <w:sz w:val="22"/>
          <w:szCs w:val="22"/>
        </w:rPr>
        <w:t xml:space="preserve">destaca-se pelo seu contributo nas exportações, pela elevada produtividade e pela forte capacidade de inovação. Em média, as 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alemãs são maiores, mais robustas e melhor integradas nas cadeias de valor globais.</w:t>
      </w:r>
    </w:p>
    <w:p w:rsidR="007121AB" w:rsidRPr="00FF0EA2" w:rsidRDefault="007121AB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 xml:space="preserve">Este desempenho não é fruto do acaso, mas sim o resultado de uma política pública coerente e sustentada no tempo. A </w:t>
      </w:r>
      <w:hyperlink r:id="rId5" w:history="1">
        <w:proofErr w:type="spellStart"/>
        <w:r w:rsidRPr="00FF0EA2">
          <w:rPr>
            <w:rStyle w:val="Hiperligao"/>
            <w:rFonts w:ascii="Arial" w:hAnsi="Arial" w:cs="Arial"/>
            <w:sz w:val="22"/>
            <w:szCs w:val="22"/>
          </w:rPr>
          <w:t>Mittelstandspolitik</w:t>
        </w:r>
        <w:proofErr w:type="spellEnd"/>
      </w:hyperlink>
      <w:r w:rsidRPr="00FF0EA2">
        <w:rPr>
          <w:rFonts w:ascii="Arial" w:hAnsi="Arial" w:cs="Arial"/>
          <w:sz w:val="22"/>
          <w:szCs w:val="22"/>
        </w:rPr>
        <w:t xml:space="preserve"> alemã assenta num sistema articulado de apoio, que inclui financiamento estruturado, formação dual (ligando ensino e empresas), estímulo à inovação e redes locais de suporte, com câmaras de comércio ativamente envolvidas na promoção externa.</w:t>
      </w:r>
    </w:p>
    <w:p w:rsidR="007121AB" w:rsidRPr="00FF0EA2" w:rsidRDefault="007121AB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 xml:space="preserve">Também a Itália oferece um exemplo relevante. Para impulsionar o crescimento das suas 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, criou um segmento específico no mercado de capitais — o </w:t>
      </w:r>
      <w:hyperlink r:id="rId6" w:history="1">
        <w:r w:rsidRPr="00FF0EA2">
          <w:rPr>
            <w:rStyle w:val="Hiperligao"/>
            <w:rFonts w:ascii="Arial" w:hAnsi="Arial" w:cs="Arial"/>
            <w:sz w:val="22"/>
            <w:szCs w:val="22"/>
          </w:rPr>
          <w:t xml:space="preserve">AIM </w:t>
        </w:r>
        <w:proofErr w:type="spellStart"/>
        <w:r w:rsidRPr="00FF0EA2">
          <w:rPr>
            <w:rStyle w:val="Hiperligao"/>
            <w:rFonts w:ascii="Arial" w:hAnsi="Arial" w:cs="Arial"/>
            <w:sz w:val="22"/>
            <w:szCs w:val="22"/>
          </w:rPr>
          <w:t>Italia</w:t>
        </w:r>
        <w:proofErr w:type="spellEnd"/>
      </w:hyperlink>
      <w:r w:rsidRPr="00FF0EA2">
        <w:rPr>
          <w:rFonts w:ascii="Arial" w:hAnsi="Arial" w:cs="Arial"/>
          <w:sz w:val="22"/>
          <w:szCs w:val="22"/>
        </w:rPr>
        <w:t xml:space="preserve"> (atualmente integrado na </w:t>
      </w:r>
      <w:proofErr w:type="spellStart"/>
      <w:r w:rsidRPr="00FF0EA2">
        <w:rPr>
          <w:rFonts w:ascii="Arial" w:hAnsi="Arial" w:cs="Arial"/>
          <w:sz w:val="22"/>
          <w:szCs w:val="22"/>
        </w:rPr>
        <w:t>Euronext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F0EA2">
        <w:rPr>
          <w:rFonts w:ascii="Arial" w:hAnsi="Arial" w:cs="Arial"/>
          <w:sz w:val="22"/>
          <w:szCs w:val="22"/>
        </w:rPr>
        <w:t>Growth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Milan) — concebido para facilitar o acesso das pequenas empresas ao financiamento bolsista. Com regras simplificadas e acompanhamento dedicado, este mercado tornou-se um verdadeiro trampolim para muitas empresas familiares ganharem escala sem perder a sua identidade.</w:t>
      </w:r>
    </w:p>
    <w:p w:rsidR="00FF0EA2" w:rsidRPr="00FF0EA2" w:rsidRDefault="00FF0EA2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 xml:space="preserve">Portugal tem registado progressos significativos. O Banco Português de Fomento, os incentivos à digitalização, a diplomacia económica, os apoios provenientes dos fundos estruturais e a criação da </w:t>
      </w:r>
      <w:proofErr w:type="spellStart"/>
      <w:r w:rsidRPr="00FF0EA2">
        <w:rPr>
          <w:rFonts w:ascii="Arial" w:hAnsi="Arial" w:cs="Arial"/>
          <w:sz w:val="22"/>
          <w:szCs w:val="22"/>
        </w:rPr>
        <w:t>Euronext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Access </w:t>
      </w:r>
      <w:proofErr w:type="spellStart"/>
      <w:r w:rsidRPr="00FF0EA2">
        <w:rPr>
          <w:rFonts w:ascii="Arial" w:hAnsi="Arial" w:cs="Arial"/>
          <w:sz w:val="22"/>
          <w:szCs w:val="22"/>
        </w:rPr>
        <w:t>Lisbon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 representam passos firmes na direção certa.</w:t>
      </w:r>
    </w:p>
    <w:p w:rsidR="0001798B" w:rsidRPr="00FF0EA2" w:rsidRDefault="00A2247F" w:rsidP="00350E1B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 xml:space="preserve">No entanto, persistem fragilidades que limitam o crescimento e a competitividade das </w:t>
      </w:r>
      <w:proofErr w:type="spellStart"/>
      <w:r w:rsidRPr="00FF0EA2">
        <w:rPr>
          <w:rFonts w:ascii="Arial" w:hAnsi="Arial" w:cs="Arial"/>
          <w:sz w:val="22"/>
          <w:szCs w:val="22"/>
        </w:rPr>
        <w:t>PMEs</w:t>
      </w:r>
      <w:proofErr w:type="spellEnd"/>
      <w:r w:rsidRPr="00FF0EA2">
        <w:rPr>
          <w:rFonts w:ascii="Arial" w:hAnsi="Arial" w:cs="Arial"/>
          <w:sz w:val="22"/>
          <w:szCs w:val="22"/>
        </w:rPr>
        <w:t xml:space="preserve">: elevados </w:t>
      </w:r>
      <w:hyperlink r:id="rId7" w:history="1">
        <w:r w:rsidRPr="00FF0EA2">
          <w:rPr>
            <w:rStyle w:val="Hiperligao"/>
            <w:rFonts w:ascii="Arial" w:hAnsi="Arial" w:cs="Arial"/>
            <w:sz w:val="22"/>
            <w:szCs w:val="22"/>
          </w:rPr>
          <w:t>custos de contexto</w:t>
        </w:r>
      </w:hyperlink>
      <w:r w:rsidRPr="00FF0EA2">
        <w:rPr>
          <w:rFonts w:ascii="Arial" w:hAnsi="Arial" w:cs="Arial"/>
          <w:sz w:val="22"/>
          <w:szCs w:val="22"/>
        </w:rPr>
        <w:t xml:space="preserve"> (como o sistema judicial e os licenciamentos)</w:t>
      </w:r>
      <w:r w:rsidR="00BC7604" w:rsidRPr="00FF0EA2">
        <w:rPr>
          <w:rFonts w:ascii="Arial" w:hAnsi="Arial" w:cs="Arial"/>
          <w:sz w:val="22"/>
          <w:szCs w:val="22"/>
        </w:rPr>
        <w:t>,</w:t>
      </w:r>
      <w:r w:rsidRPr="00FF0EA2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="00BC7604" w:rsidRPr="00FF0EA2">
          <w:rPr>
            <w:rStyle w:val="Hiperligao"/>
            <w:rFonts w:ascii="Arial" w:hAnsi="Arial" w:cs="Arial"/>
            <w:sz w:val="22"/>
            <w:szCs w:val="22"/>
          </w:rPr>
          <w:t>baixa produtividade</w:t>
        </w:r>
      </w:hyperlink>
      <w:r w:rsidR="00BC7604" w:rsidRPr="00FF0EA2">
        <w:rPr>
          <w:rFonts w:ascii="Arial" w:hAnsi="Arial" w:cs="Arial"/>
          <w:sz w:val="22"/>
          <w:szCs w:val="22"/>
        </w:rPr>
        <w:t xml:space="preserve">, </w:t>
      </w:r>
      <w:hyperlink r:id="rId9" w:history="1">
        <w:r w:rsidR="00BC7604" w:rsidRPr="00FF0EA2">
          <w:rPr>
            <w:rStyle w:val="Hiperligao"/>
            <w:rFonts w:ascii="Arial" w:hAnsi="Arial" w:cs="Arial"/>
            <w:sz w:val="22"/>
            <w:szCs w:val="22"/>
          </w:rPr>
          <w:t>fraca capitalização</w:t>
        </w:r>
      </w:hyperlink>
      <w:r w:rsidR="00BC7604" w:rsidRPr="00FF0EA2">
        <w:rPr>
          <w:rFonts w:ascii="Arial" w:hAnsi="Arial" w:cs="Arial"/>
          <w:sz w:val="22"/>
          <w:szCs w:val="22"/>
        </w:rPr>
        <w:t xml:space="preserve">, e </w:t>
      </w:r>
      <w:r w:rsidRPr="00FF0EA2">
        <w:rPr>
          <w:rFonts w:ascii="Arial" w:hAnsi="Arial" w:cs="Arial"/>
          <w:sz w:val="22"/>
          <w:szCs w:val="22"/>
        </w:rPr>
        <w:t>d</w:t>
      </w:r>
      <w:r w:rsidR="0001798B" w:rsidRPr="00FF0EA2">
        <w:rPr>
          <w:rFonts w:ascii="Arial" w:hAnsi="Arial" w:cs="Arial"/>
          <w:sz w:val="22"/>
          <w:szCs w:val="22"/>
        </w:rPr>
        <w:t xml:space="preserve">ificuldades na </w:t>
      </w:r>
      <w:hyperlink r:id="rId10" w:history="1">
        <w:r w:rsidR="0001798B" w:rsidRPr="00FF0EA2">
          <w:rPr>
            <w:rStyle w:val="Hiperligao"/>
            <w:rFonts w:ascii="Arial" w:hAnsi="Arial" w:cs="Arial"/>
            <w:sz w:val="22"/>
            <w:szCs w:val="22"/>
          </w:rPr>
          <w:t>internacionalização</w:t>
        </w:r>
      </w:hyperlink>
      <w:r w:rsidR="0001798B" w:rsidRPr="00FF0EA2">
        <w:rPr>
          <w:rFonts w:ascii="Arial" w:hAnsi="Arial" w:cs="Arial"/>
          <w:sz w:val="22"/>
          <w:szCs w:val="22"/>
        </w:rPr>
        <w:t xml:space="preserve"> sustentada.</w:t>
      </w:r>
      <w:r w:rsidR="007E1A08" w:rsidRPr="00FF0EA2">
        <w:rPr>
          <w:rFonts w:ascii="Arial" w:hAnsi="Arial" w:cs="Arial"/>
          <w:sz w:val="22"/>
          <w:szCs w:val="22"/>
        </w:rPr>
        <w:t xml:space="preserve"> </w:t>
      </w:r>
      <w:r w:rsidR="007E1A08" w:rsidRPr="00FF0EA2">
        <w:rPr>
          <w:rFonts w:ascii="Arial" w:hAnsi="Arial" w:cs="Arial"/>
          <w:sz w:val="22"/>
          <w:szCs w:val="22"/>
        </w:rPr>
        <w:t xml:space="preserve">A estas fragilidades somam-se desequilíbrios territoriais: a </w:t>
      </w:r>
      <w:hyperlink r:id="rId11" w:history="1">
        <w:r w:rsidR="007E1A08" w:rsidRPr="00FF0EA2">
          <w:rPr>
            <w:rStyle w:val="Hiperligao"/>
            <w:rFonts w:ascii="Arial" w:hAnsi="Arial" w:cs="Arial"/>
            <w:sz w:val="22"/>
            <w:szCs w:val="22"/>
          </w:rPr>
          <w:t>densidade d</w:t>
        </w:r>
        <w:r w:rsidR="007E1A08" w:rsidRPr="00FF0EA2">
          <w:rPr>
            <w:rStyle w:val="Hiperligao"/>
            <w:rFonts w:ascii="Arial" w:hAnsi="Arial" w:cs="Arial"/>
            <w:sz w:val="22"/>
            <w:szCs w:val="22"/>
          </w:rPr>
          <w:t>e</w:t>
        </w:r>
        <w:r w:rsidR="007E1A08" w:rsidRPr="00FF0EA2">
          <w:rPr>
            <w:rStyle w:val="Hiperligao"/>
            <w:rFonts w:ascii="Arial" w:hAnsi="Arial" w:cs="Arial"/>
            <w:sz w:val="22"/>
            <w:szCs w:val="22"/>
          </w:rPr>
          <w:t xml:space="preserve"> empresas</w:t>
        </w:r>
      </w:hyperlink>
      <w:r w:rsidR="007E1A08" w:rsidRPr="00FF0EA2">
        <w:rPr>
          <w:rFonts w:ascii="Arial" w:hAnsi="Arial" w:cs="Arial"/>
          <w:sz w:val="22"/>
          <w:szCs w:val="22"/>
        </w:rPr>
        <w:t xml:space="preserve"> varia entre 257,4 empresas/km² na Grande Lisboa, 61,5 na Península de Setúbal, 11,5 no Oeste e Vale do Tejo, 9,5 no Centro e apenas 2,4 no Alentejo, refletindo realidades económicas distintas</w:t>
      </w:r>
      <w:r w:rsidR="007E1A08" w:rsidRPr="00FF0EA2">
        <w:rPr>
          <w:rFonts w:ascii="Arial" w:hAnsi="Arial" w:cs="Arial"/>
          <w:sz w:val="22"/>
          <w:szCs w:val="22"/>
        </w:rPr>
        <w:t>.</w:t>
      </w:r>
    </w:p>
    <w:p w:rsidR="0045682B" w:rsidRPr="00FF0EA2" w:rsidRDefault="00B61FD7" w:rsidP="00350E1B">
      <w:pPr>
        <w:jc w:val="both"/>
        <w:rPr>
          <w:b/>
        </w:rPr>
      </w:pPr>
      <w:r w:rsidRPr="00FF0EA2">
        <w:rPr>
          <w:rFonts w:ascii="Arial" w:hAnsi="Arial" w:cs="Arial"/>
        </w:rPr>
        <w:t xml:space="preserve">Apesar dos desafios, há </w:t>
      </w:r>
      <w:proofErr w:type="spellStart"/>
      <w:r w:rsidRPr="00FF0EA2">
        <w:rPr>
          <w:rFonts w:ascii="Arial" w:hAnsi="Arial" w:cs="Arial"/>
        </w:rPr>
        <w:t>PMEs</w:t>
      </w:r>
      <w:proofErr w:type="spellEnd"/>
      <w:r w:rsidRPr="00FF0EA2">
        <w:rPr>
          <w:rFonts w:ascii="Arial" w:hAnsi="Arial" w:cs="Arial"/>
        </w:rPr>
        <w:t xml:space="preserve"> de excelência em todo o país — familiares, tecnológicas, industriais ou turísticas — que inovam, exportam e geram valor. Muitas foram distinguidas como </w:t>
      </w:r>
      <w:hyperlink r:id="rId12" w:anchor=":~:text=O%20estatuto%20PME%20L%C3%ADder%20%C3%A9%20um%20selo%20de,as%20melhores%20nota%C3%A7%C3%B5es%20de%20rating%20e%20indicadores%20econ%C3%B3mico-financeiros." w:history="1">
        <w:r w:rsidRPr="00FF0EA2">
          <w:rPr>
            <w:rStyle w:val="Hiperligao"/>
            <w:rFonts w:ascii="Arial" w:hAnsi="Arial" w:cs="Arial"/>
          </w:rPr>
          <w:t>PME Líder e PME Excelência</w:t>
        </w:r>
      </w:hyperlink>
      <w:r w:rsidRPr="00FF0EA2">
        <w:rPr>
          <w:rFonts w:ascii="Arial" w:hAnsi="Arial" w:cs="Arial"/>
        </w:rPr>
        <w:t xml:space="preserve"> </w:t>
      </w:r>
      <w:r w:rsidRPr="00FF0EA2">
        <w:rPr>
          <w:rFonts w:ascii="Arial" w:hAnsi="Arial" w:cs="Arial"/>
        </w:rPr>
        <w:t xml:space="preserve">pelo IAPMEI e Turismo de Portugal, evidenciando boa gestão, solidez e competitividade. </w:t>
      </w:r>
      <w:r w:rsidR="0045682B" w:rsidRPr="00FF0EA2">
        <w:rPr>
          <w:rStyle w:val="Forte"/>
          <w:rFonts w:ascii="Arial" w:hAnsi="Arial" w:cs="Arial"/>
          <w:b w:val="0"/>
        </w:rPr>
        <w:t xml:space="preserve">Estes exemplos evidenciam o potencial das </w:t>
      </w:r>
      <w:proofErr w:type="spellStart"/>
      <w:r w:rsidR="0045682B" w:rsidRPr="00FF0EA2">
        <w:rPr>
          <w:rStyle w:val="Forte"/>
          <w:rFonts w:ascii="Arial" w:hAnsi="Arial" w:cs="Arial"/>
          <w:b w:val="0"/>
        </w:rPr>
        <w:t>PMEs</w:t>
      </w:r>
      <w:proofErr w:type="spellEnd"/>
      <w:r w:rsidR="0045682B" w:rsidRPr="00FF0EA2">
        <w:rPr>
          <w:rStyle w:val="Forte"/>
          <w:rFonts w:ascii="Arial" w:hAnsi="Arial" w:cs="Arial"/>
          <w:b w:val="0"/>
        </w:rPr>
        <w:t xml:space="preserve"> portuguesas para assumirem posições de liderança no panorama nacional e internacional.</w:t>
      </w:r>
    </w:p>
    <w:p w:rsidR="00CB3AF9" w:rsidRPr="00FF0EA2" w:rsidRDefault="00350E1B" w:rsidP="00350E1B">
      <w:pPr>
        <w:jc w:val="both"/>
        <w:rPr>
          <w:rStyle w:val="Forte"/>
          <w:rFonts w:ascii="Arial" w:hAnsi="Arial" w:cs="Arial"/>
          <w:b w:val="0"/>
        </w:rPr>
      </w:pPr>
      <w:r w:rsidRPr="00FF0EA2">
        <w:rPr>
          <w:rStyle w:val="Forte"/>
          <w:rFonts w:ascii="Arial" w:hAnsi="Arial" w:cs="Arial"/>
          <w:b w:val="0"/>
        </w:rPr>
        <w:t xml:space="preserve">As </w:t>
      </w:r>
      <w:proofErr w:type="spellStart"/>
      <w:r w:rsidRPr="00FF0EA2">
        <w:rPr>
          <w:rStyle w:val="Forte"/>
          <w:rFonts w:ascii="Arial" w:hAnsi="Arial" w:cs="Arial"/>
          <w:b w:val="0"/>
        </w:rPr>
        <w:t>PMEs</w:t>
      </w:r>
      <w:proofErr w:type="spellEnd"/>
      <w:r w:rsidRPr="00FF0EA2">
        <w:rPr>
          <w:rStyle w:val="Forte"/>
          <w:rFonts w:ascii="Arial" w:hAnsi="Arial" w:cs="Arial"/>
          <w:b w:val="0"/>
        </w:rPr>
        <w:t xml:space="preserve"> são o ritmo da economia. Para que esse ritmo acelere com ambição, inovação e impacto, é essencial garantir um ambiente de negócios favorável ao crescimento sustentável. Isso implica reduzir os custos de contexto, reforçar os instrumentos de capitalização, facilitar o acesso a mercados internacionais e investir em competências orientadas para a criação de valor. Exige também reconhecer e responder às diferenças </w:t>
      </w:r>
      <w:r w:rsidRPr="00FF0EA2">
        <w:rPr>
          <w:rStyle w:val="Forte"/>
          <w:rFonts w:ascii="Arial" w:hAnsi="Arial" w:cs="Arial"/>
          <w:b w:val="0"/>
        </w:rPr>
        <w:lastRenderedPageBreak/>
        <w:t>territoriais, com políticas públicas adaptadas às especificidades regionais.</w:t>
      </w:r>
      <w:r w:rsidRPr="00FF0EA2">
        <w:rPr>
          <w:rFonts w:ascii="Arial" w:hAnsi="Arial" w:cs="Arial"/>
        </w:rPr>
        <w:br/>
      </w:r>
      <w:r w:rsidRPr="00FF0EA2">
        <w:rPr>
          <w:rStyle w:val="Forte"/>
          <w:rFonts w:ascii="Arial" w:hAnsi="Arial" w:cs="Arial"/>
          <w:b w:val="0"/>
        </w:rPr>
        <w:t xml:space="preserve">A força das </w:t>
      </w:r>
      <w:proofErr w:type="spellStart"/>
      <w:r w:rsidRPr="00FF0EA2">
        <w:rPr>
          <w:rStyle w:val="Forte"/>
          <w:rFonts w:ascii="Arial" w:hAnsi="Arial" w:cs="Arial"/>
          <w:b w:val="0"/>
        </w:rPr>
        <w:t>PMEs</w:t>
      </w:r>
      <w:proofErr w:type="spellEnd"/>
      <w:r w:rsidRPr="00FF0EA2">
        <w:rPr>
          <w:rStyle w:val="Forte"/>
          <w:rFonts w:ascii="Arial" w:hAnsi="Arial" w:cs="Arial"/>
          <w:b w:val="0"/>
        </w:rPr>
        <w:t xml:space="preserve"> em número já está conquistada; o desafio agora é transformá-las em marcas fortes, inovadoras e bem posicionadas nas cadeias de valor globais.</w:t>
      </w:r>
    </w:p>
    <w:p w:rsidR="00350E1B" w:rsidRPr="00FF0EA2" w:rsidRDefault="00350E1B" w:rsidP="00350E1B">
      <w:pPr>
        <w:jc w:val="both"/>
        <w:rPr>
          <w:rStyle w:val="Forte"/>
          <w:rFonts w:ascii="Arial" w:hAnsi="Arial" w:cs="Arial"/>
          <w:b w:val="0"/>
        </w:rPr>
      </w:pPr>
    </w:p>
    <w:p w:rsidR="00350E1B" w:rsidRPr="00FF0EA2" w:rsidRDefault="00350E1B" w:rsidP="00350E1B">
      <w:pPr>
        <w:pStyle w:val="NormalWeb"/>
        <w:spacing w:line="360" w:lineRule="auto"/>
        <w:rPr>
          <w:rFonts w:ascii="Arial" w:hAnsi="Arial" w:cs="Arial"/>
          <w:sz w:val="22"/>
          <w:szCs w:val="22"/>
        </w:rPr>
      </w:pPr>
      <w:r w:rsidRPr="00FF0EA2">
        <w:rPr>
          <w:rFonts w:ascii="Arial" w:hAnsi="Arial" w:cs="Arial"/>
          <w:sz w:val="22"/>
          <w:szCs w:val="22"/>
        </w:rPr>
        <w:t>Ana Brochado, Presidente da Delegação Regional Centro Alentejo, Ordem dos Economistas. ISCTE. DINÂMIA’CET.</w:t>
      </w:r>
    </w:p>
    <w:p w:rsidR="00350E1B" w:rsidRPr="00F31C5A" w:rsidRDefault="00350E1B" w:rsidP="00350E1B">
      <w:pPr>
        <w:jc w:val="both"/>
        <w:rPr>
          <w:rFonts w:ascii="Arial" w:hAnsi="Arial" w:cs="Arial"/>
        </w:rPr>
      </w:pPr>
    </w:p>
    <w:sectPr w:rsidR="00350E1B" w:rsidRPr="00F31C5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98B"/>
    <w:rsid w:val="0001798B"/>
    <w:rsid w:val="0005199F"/>
    <w:rsid w:val="00086B5F"/>
    <w:rsid w:val="00233290"/>
    <w:rsid w:val="00350E1B"/>
    <w:rsid w:val="0043365D"/>
    <w:rsid w:val="0045682B"/>
    <w:rsid w:val="00514418"/>
    <w:rsid w:val="007121AB"/>
    <w:rsid w:val="007362B5"/>
    <w:rsid w:val="007E1A08"/>
    <w:rsid w:val="008274D5"/>
    <w:rsid w:val="008D4DF1"/>
    <w:rsid w:val="00A0433D"/>
    <w:rsid w:val="00A2247F"/>
    <w:rsid w:val="00B61FD7"/>
    <w:rsid w:val="00B6425B"/>
    <w:rsid w:val="00BC52E1"/>
    <w:rsid w:val="00BC7604"/>
    <w:rsid w:val="00E03FC2"/>
    <w:rsid w:val="00F31C5A"/>
    <w:rsid w:val="00FC7A1A"/>
    <w:rsid w:val="00FF0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D2A55"/>
  <w15:chartTrackingRefBased/>
  <w15:docId w15:val="{428FE06B-F618-43D4-917C-83B96138A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179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01798B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01798B"/>
    <w:rPr>
      <w:color w:val="0563C1" w:themeColor="hyperlink"/>
      <w:u w:val="single"/>
    </w:rPr>
  </w:style>
  <w:style w:type="character" w:styleId="nfase">
    <w:name w:val="Emphasis"/>
    <w:basedOn w:val="Tipodeletrapredefinidodopargrafo"/>
    <w:uiPriority w:val="20"/>
    <w:qFormat/>
    <w:rsid w:val="007121AB"/>
    <w:rPr>
      <w:i/>
      <w:iCs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FF0E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67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7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ngle-market-economy.ec.europa.eu/system/files/2023-08/Annual%20Report%20on%20European%20SMEs%202023_FINAL.pdf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file:///C:\Users\Abrochado\Downloads\26CustosContexto_2021%20(1).pdf" TargetMode="External"/><Relationship Id="rId12" Type="http://schemas.openxmlformats.org/officeDocument/2006/relationships/hyperlink" Target="https://www.iapmei.pt/PRODUTOS-E-SERVICOS/Qualificacao-Certificacao/PME-Lider/PME-Lider.asp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orsaitaliana.it/azioni/mercati/euronext-growth-milan/home/listingonaimitalia.en.htm?utm_source=chatgpt.com" TargetMode="External"/><Relationship Id="rId11" Type="http://schemas.openxmlformats.org/officeDocument/2006/relationships/hyperlink" Target="https://www.ine.pt/documentos/anuario/AER2023_III_03.xlsx" TargetMode="External"/><Relationship Id="rId5" Type="http://schemas.openxmlformats.org/officeDocument/2006/relationships/hyperlink" Target="https://www.bmwk.de/Redaktion/EN/Dossier/sme-policy.html" TargetMode="External"/><Relationship Id="rId10" Type="http://schemas.openxmlformats.org/officeDocument/2006/relationships/hyperlink" Target="https://www.accessecon.com/Pubs/EB/2020/Volume40/EB-20-V40-I4-P255.pdf" TargetMode="External"/><Relationship Id="rId4" Type="http://schemas.openxmlformats.org/officeDocument/2006/relationships/hyperlink" Target="https://www.bmwk.de/Redaktion/EN/Dossier/sme-policy.html" TargetMode="External"/><Relationship Id="rId9" Type="http://schemas.openxmlformats.org/officeDocument/2006/relationships/hyperlink" Target="https://www.gee.gov.pt/pt/lista-publicacoes/financiamento-e-endividamento-das-empresas/2025-13/10378-painel-sobre-credito-endividamento-e-investimento-das-empresas-n-1-2025/fil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734</Words>
  <Characters>4197</Characters>
  <Application>Microsoft Office Word</Application>
  <DocSecurity>0</DocSecurity>
  <Lines>68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Brochado</dc:creator>
  <cp:keywords/>
  <dc:description/>
  <cp:lastModifiedBy>Ana Brochado</cp:lastModifiedBy>
  <cp:revision>2</cp:revision>
  <dcterms:created xsi:type="dcterms:W3CDTF">2025-06-16T18:39:00Z</dcterms:created>
  <dcterms:modified xsi:type="dcterms:W3CDTF">2025-06-16T18:39:00Z</dcterms:modified>
</cp:coreProperties>
</file>