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15E2" w:rsidRPr="00936DF2" w:rsidRDefault="006A15E2">
      <w:pPr>
        <w:rPr>
          <w:rFonts w:ascii="Arial" w:hAnsi="Arial" w:cs="Arial"/>
        </w:rPr>
      </w:pPr>
    </w:p>
    <w:p w:rsidR="00936DF2" w:rsidRPr="00936DF2" w:rsidRDefault="00936DF2">
      <w:pPr>
        <w:rPr>
          <w:rFonts w:ascii="Arial" w:hAnsi="Arial" w:cs="Arial"/>
        </w:rPr>
      </w:pPr>
    </w:p>
    <w:p w:rsidR="004D347B" w:rsidRPr="004D347B" w:rsidRDefault="004D347B" w:rsidP="004D347B">
      <w:pPr>
        <w:spacing w:before="100" w:beforeAutospacing="1" w:after="100" w:afterAutospacing="1" w:line="240" w:lineRule="auto"/>
        <w:rPr>
          <w:rFonts w:ascii="Arial" w:eastAsia="Times New Roman" w:hAnsi="Arial" w:cs="Arial"/>
          <w:b/>
          <w:sz w:val="24"/>
          <w:szCs w:val="24"/>
          <w:lang w:eastAsia="pt-PT"/>
        </w:rPr>
      </w:pPr>
      <w:bookmarkStart w:id="0" w:name="_GoBack"/>
      <w:r w:rsidRPr="004D347B">
        <w:rPr>
          <w:rFonts w:ascii="Arial" w:eastAsia="Times New Roman" w:hAnsi="Arial" w:cs="Arial"/>
          <w:b/>
          <w:sz w:val="24"/>
          <w:szCs w:val="24"/>
          <w:lang w:eastAsia="pt-PT"/>
        </w:rPr>
        <w:t>O Poder d</w:t>
      </w:r>
      <w:r w:rsidR="005D0169">
        <w:rPr>
          <w:rFonts w:ascii="Arial" w:eastAsia="Times New Roman" w:hAnsi="Arial" w:cs="Arial"/>
          <w:b/>
          <w:sz w:val="24"/>
          <w:szCs w:val="24"/>
          <w:lang w:eastAsia="pt-PT"/>
        </w:rPr>
        <w:t xml:space="preserve">as </w:t>
      </w:r>
      <w:r w:rsidRPr="004D347B">
        <w:rPr>
          <w:rFonts w:ascii="Arial" w:eastAsia="Times New Roman" w:hAnsi="Arial" w:cs="Arial"/>
          <w:b/>
          <w:sz w:val="24"/>
          <w:szCs w:val="24"/>
          <w:lang w:eastAsia="pt-PT"/>
        </w:rPr>
        <w:t>Regiões: Do Local à Liderança Global</w:t>
      </w:r>
    </w:p>
    <w:bookmarkEnd w:id="0"/>
    <w:p w:rsidR="004D347B" w:rsidRPr="004D347B" w:rsidRDefault="004D347B" w:rsidP="004D347B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pt-PT"/>
        </w:rPr>
      </w:pPr>
      <w:r w:rsidRPr="004D347B">
        <w:rPr>
          <w:rFonts w:ascii="Arial" w:eastAsia="Times New Roman" w:hAnsi="Arial" w:cs="Arial"/>
          <w:sz w:val="24"/>
          <w:szCs w:val="24"/>
          <w:lang w:eastAsia="pt-PT"/>
        </w:rPr>
        <w:t>O centro de gravidade económic</w:t>
      </w:r>
      <w:r>
        <w:rPr>
          <w:rFonts w:ascii="Arial" w:eastAsia="Times New Roman" w:hAnsi="Arial" w:cs="Arial"/>
          <w:sz w:val="24"/>
          <w:szCs w:val="24"/>
          <w:lang w:eastAsia="pt-PT"/>
        </w:rPr>
        <w:t>a</w:t>
      </w:r>
      <w:r w:rsidRPr="004D347B">
        <w:rPr>
          <w:rFonts w:ascii="Arial" w:eastAsia="Times New Roman" w:hAnsi="Arial" w:cs="Arial"/>
          <w:sz w:val="24"/>
          <w:szCs w:val="24"/>
          <w:lang w:eastAsia="pt-PT"/>
        </w:rPr>
        <w:t xml:space="preserve"> do mundo está a deslocar-se rapidamente para a Ásia. A China, a Índia e o Sudeste Asiático concentram hoje grande parte da população jovem, atraem volumes crescentes de investimento e assumem um papel central nas rotas comerciais globais. Nesta nova geoeconomia, o dinamismo territorial passou a ser determinante: são os territórios que definem quem cresce, quem atrai talento e quem conquista protagonismo internacional.</w:t>
      </w:r>
    </w:p>
    <w:p w:rsidR="004D347B" w:rsidRPr="004D347B" w:rsidRDefault="00413842" w:rsidP="004D347B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pt-PT"/>
        </w:rPr>
      </w:pPr>
      <w:r>
        <w:rPr>
          <w:rFonts w:ascii="Arial" w:eastAsia="Times New Roman" w:hAnsi="Arial" w:cs="Arial"/>
          <w:sz w:val="24"/>
          <w:szCs w:val="24"/>
          <w:lang w:eastAsia="pt-PT"/>
        </w:rPr>
        <w:t>A</w:t>
      </w:r>
      <w:r w:rsidR="004D347B" w:rsidRPr="004D347B">
        <w:rPr>
          <w:rFonts w:ascii="Arial" w:eastAsia="Times New Roman" w:hAnsi="Arial" w:cs="Arial"/>
          <w:sz w:val="24"/>
          <w:szCs w:val="24"/>
          <w:lang w:eastAsia="pt-PT"/>
        </w:rPr>
        <w:t xml:space="preserve"> Europa acompanha esta transformação com sentido de urgência e ambição renovada. O </w:t>
      </w:r>
      <w:hyperlink r:id="rId4" w:anchor="paragraph_47059" w:history="1">
        <w:r w:rsidR="004D347B" w:rsidRPr="00413842">
          <w:rPr>
            <w:rStyle w:val="Hiperligao"/>
            <w:rFonts w:ascii="Arial" w:eastAsia="Times New Roman" w:hAnsi="Arial" w:cs="Arial"/>
            <w:sz w:val="24"/>
            <w:szCs w:val="24"/>
            <w:lang w:eastAsia="pt-PT"/>
          </w:rPr>
          <w:t xml:space="preserve">Relatório </w:t>
        </w:r>
        <w:proofErr w:type="spellStart"/>
        <w:r w:rsidR="004D347B" w:rsidRPr="00413842">
          <w:rPr>
            <w:rStyle w:val="Hiperligao"/>
            <w:rFonts w:ascii="Arial" w:eastAsia="Times New Roman" w:hAnsi="Arial" w:cs="Arial"/>
            <w:sz w:val="24"/>
            <w:szCs w:val="24"/>
            <w:lang w:eastAsia="pt-PT"/>
          </w:rPr>
          <w:t>Draghi</w:t>
        </w:r>
        <w:proofErr w:type="spellEnd"/>
      </w:hyperlink>
      <w:r w:rsidR="004D347B" w:rsidRPr="004D347B">
        <w:rPr>
          <w:rFonts w:ascii="Arial" w:eastAsia="Times New Roman" w:hAnsi="Arial" w:cs="Arial"/>
          <w:sz w:val="24"/>
          <w:szCs w:val="24"/>
          <w:lang w:eastAsia="pt-PT"/>
        </w:rPr>
        <w:t xml:space="preserve"> recorda que a competitividade europeia depende de reforçar produtividade, inovação e escala, dimensões que emergem nos territórios onde empresas, conhecimento e instituições operam de forma articulada. É igualmente ao nível regional que se tornam visíveis muitos dos desafios da convergência europeia, como evidencia o relatório </w:t>
      </w:r>
      <w:hyperlink r:id="rId5" w:history="1">
        <w:r w:rsidR="004D347B" w:rsidRPr="00413842">
          <w:rPr>
            <w:rStyle w:val="Hiperligao"/>
            <w:rFonts w:ascii="Arial" w:eastAsia="Times New Roman" w:hAnsi="Arial" w:cs="Arial"/>
            <w:i/>
            <w:sz w:val="24"/>
            <w:szCs w:val="24"/>
            <w:lang w:eastAsia="pt-PT"/>
          </w:rPr>
          <w:t xml:space="preserve">Regional </w:t>
        </w:r>
        <w:proofErr w:type="spellStart"/>
        <w:r w:rsidR="004D347B" w:rsidRPr="00413842">
          <w:rPr>
            <w:rStyle w:val="Hiperligao"/>
            <w:rFonts w:ascii="Arial" w:eastAsia="Times New Roman" w:hAnsi="Arial" w:cs="Arial"/>
            <w:i/>
            <w:sz w:val="24"/>
            <w:szCs w:val="24"/>
            <w:lang w:eastAsia="pt-PT"/>
          </w:rPr>
          <w:t>Trends</w:t>
        </w:r>
        <w:proofErr w:type="spellEnd"/>
        <w:r w:rsidR="004D347B" w:rsidRPr="00413842">
          <w:rPr>
            <w:rStyle w:val="Hiperligao"/>
            <w:rFonts w:ascii="Arial" w:eastAsia="Times New Roman" w:hAnsi="Arial" w:cs="Arial"/>
            <w:i/>
            <w:sz w:val="24"/>
            <w:szCs w:val="24"/>
            <w:lang w:eastAsia="pt-PT"/>
          </w:rPr>
          <w:t xml:space="preserve"> for </w:t>
        </w:r>
        <w:proofErr w:type="spellStart"/>
        <w:r w:rsidR="004D347B" w:rsidRPr="00413842">
          <w:rPr>
            <w:rStyle w:val="Hiperligao"/>
            <w:rFonts w:ascii="Arial" w:eastAsia="Times New Roman" w:hAnsi="Arial" w:cs="Arial"/>
            <w:i/>
            <w:sz w:val="24"/>
            <w:szCs w:val="24"/>
            <w:lang w:eastAsia="pt-PT"/>
          </w:rPr>
          <w:t>Growth</w:t>
        </w:r>
        <w:proofErr w:type="spellEnd"/>
        <w:r w:rsidR="004D347B" w:rsidRPr="00413842">
          <w:rPr>
            <w:rStyle w:val="Hiperligao"/>
            <w:rFonts w:ascii="Arial" w:eastAsia="Times New Roman" w:hAnsi="Arial" w:cs="Arial"/>
            <w:i/>
            <w:sz w:val="24"/>
            <w:szCs w:val="24"/>
            <w:lang w:eastAsia="pt-PT"/>
          </w:rPr>
          <w:t xml:space="preserve"> </w:t>
        </w:r>
        <w:proofErr w:type="spellStart"/>
        <w:r w:rsidR="004D347B" w:rsidRPr="00413842">
          <w:rPr>
            <w:rStyle w:val="Hiperligao"/>
            <w:rFonts w:ascii="Arial" w:eastAsia="Times New Roman" w:hAnsi="Arial" w:cs="Arial"/>
            <w:i/>
            <w:sz w:val="24"/>
            <w:szCs w:val="24"/>
            <w:lang w:eastAsia="pt-PT"/>
          </w:rPr>
          <w:t>and</w:t>
        </w:r>
        <w:proofErr w:type="spellEnd"/>
        <w:r w:rsidR="004D347B" w:rsidRPr="00413842">
          <w:rPr>
            <w:rStyle w:val="Hiperligao"/>
            <w:rFonts w:ascii="Arial" w:eastAsia="Times New Roman" w:hAnsi="Arial" w:cs="Arial"/>
            <w:i/>
            <w:sz w:val="24"/>
            <w:szCs w:val="24"/>
            <w:lang w:eastAsia="pt-PT"/>
          </w:rPr>
          <w:t xml:space="preserve"> </w:t>
        </w:r>
        <w:proofErr w:type="spellStart"/>
        <w:r w:rsidR="004D347B" w:rsidRPr="00413842">
          <w:rPr>
            <w:rStyle w:val="Hiperligao"/>
            <w:rFonts w:ascii="Arial" w:eastAsia="Times New Roman" w:hAnsi="Arial" w:cs="Arial"/>
            <w:i/>
            <w:sz w:val="24"/>
            <w:szCs w:val="24"/>
            <w:lang w:eastAsia="pt-PT"/>
          </w:rPr>
          <w:t>Convergence</w:t>
        </w:r>
        <w:proofErr w:type="spellEnd"/>
        <w:r w:rsidR="004D347B" w:rsidRPr="00413842">
          <w:rPr>
            <w:rStyle w:val="Hiperligao"/>
            <w:rFonts w:ascii="Arial" w:eastAsia="Times New Roman" w:hAnsi="Arial" w:cs="Arial"/>
            <w:i/>
            <w:sz w:val="24"/>
            <w:szCs w:val="24"/>
            <w:lang w:eastAsia="pt-PT"/>
          </w:rPr>
          <w:t xml:space="preserve"> in </w:t>
        </w:r>
        <w:proofErr w:type="spellStart"/>
        <w:r w:rsidR="004D347B" w:rsidRPr="00413842">
          <w:rPr>
            <w:rStyle w:val="Hiperligao"/>
            <w:rFonts w:ascii="Arial" w:eastAsia="Times New Roman" w:hAnsi="Arial" w:cs="Arial"/>
            <w:i/>
            <w:sz w:val="24"/>
            <w:szCs w:val="24"/>
            <w:lang w:eastAsia="pt-PT"/>
          </w:rPr>
          <w:t>the</w:t>
        </w:r>
        <w:proofErr w:type="spellEnd"/>
        <w:r w:rsidR="004D347B" w:rsidRPr="00413842">
          <w:rPr>
            <w:rStyle w:val="Hiperligao"/>
            <w:rFonts w:ascii="Arial" w:eastAsia="Times New Roman" w:hAnsi="Arial" w:cs="Arial"/>
            <w:i/>
            <w:sz w:val="24"/>
            <w:szCs w:val="24"/>
            <w:lang w:eastAsia="pt-PT"/>
          </w:rPr>
          <w:t xml:space="preserve"> EU</w:t>
        </w:r>
      </w:hyperlink>
      <w:r w:rsidR="004D347B" w:rsidRPr="004D347B">
        <w:rPr>
          <w:rFonts w:ascii="Arial" w:eastAsia="Times New Roman" w:hAnsi="Arial" w:cs="Arial"/>
          <w:sz w:val="24"/>
          <w:szCs w:val="24"/>
          <w:lang w:eastAsia="pt-PT"/>
        </w:rPr>
        <w:t>, que identifica assimetrias persistentes em educação, mobilidade, emprego, inovação, digitalização e qualidade institucional.</w:t>
      </w:r>
    </w:p>
    <w:p w:rsidR="00413842" w:rsidRPr="00861CC5" w:rsidRDefault="00413842" w:rsidP="00861CC5">
      <w:pPr>
        <w:pStyle w:val="NormalWeb"/>
        <w:jc w:val="both"/>
        <w:rPr>
          <w:rFonts w:ascii="Arial" w:hAnsi="Arial" w:cs="Arial"/>
        </w:rPr>
      </w:pPr>
      <w:r w:rsidRPr="00861CC5">
        <w:rPr>
          <w:rFonts w:ascii="Arial" w:hAnsi="Arial" w:cs="Arial"/>
        </w:rPr>
        <w:t xml:space="preserve">Neste enquadramento, os fundos estruturais funcionam como instrumentos centrais para acelerar o dinamismo empresarial, potenciar o investimento, qualificar trabalhadores e elevar o valor acrescentado, sobretudo nas regiões situadas abaixo da média nacional em termos de PIB per capita. A especialização inteligente é a peça central desta abordagem, permitindo orientar recursos para áreas onde cada território possui vantagens comparativas, capacidade científica instalada ou potencial de </w:t>
      </w:r>
      <w:proofErr w:type="spellStart"/>
      <w:r w:rsidRPr="00861CC5">
        <w:rPr>
          <w:rFonts w:ascii="Arial" w:hAnsi="Arial" w:cs="Arial"/>
        </w:rPr>
        <w:t>clusterização</w:t>
      </w:r>
      <w:proofErr w:type="spellEnd"/>
      <w:r w:rsidRPr="00861CC5">
        <w:rPr>
          <w:rFonts w:ascii="Arial" w:hAnsi="Arial" w:cs="Arial"/>
        </w:rPr>
        <w:t>. Este potencial traduz-se na capacidade de reunir empresas, centros de investigação e talento em torno de atividades económicas relacionadas, criando sinergias que reforçam competitividade e inovação. Desta forma, o financiamento público torna-se mais focado e eficaz, reforçando ecossistemas regionais e promovendo um desenvolvimento territorial mais equilibrado.</w:t>
      </w:r>
    </w:p>
    <w:p w:rsidR="00FD54DC" w:rsidRDefault="00FD54DC" w:rsidP="004D347B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pt-PT"/>
        </w:rPr>
      </w:pPr>
      <w:r w:rsidRPr="00B76627">
        <w:rPr>
          <w:rFonts w:ascii="Arial" w:eastAsia="Times New Roman" w:hAnsi="Arial" w:cs="Arial"/>
          <w:sz w:val="24"/>
          <w:szCs w:val="24"/>
          <w:lang w:eastAsia="pt-PT"/>
        </w:rPr>
        <w:t>As estratégias regionais de especialização inteligente traduzem esta visão em escolhas concretas.</w:t>
      </w:r>
      <w:r>
        <w:t xml:space="preserve"> No </w:t>
      </w:r>
      <w:hyperlink r:id="rId6" w:history="1">
        <w:r w:rsidRPr="00861CC5">
          <w:rPr>
            <w:rStyle w:val="Hiperligao"/>
            <w:rFonts w:ascii="Arial" w:eastAsia="Times New Roman" w:hAnsi="Arial" w:cs="Arial"/>
            <w:sz w:val="24"/>
            <w:szCs w:val="24"/>
            <w:lang w:eastAsia="pt-PT"/>
          </w:rPr>
          <w:t>Centro</w:t>
        </w:r>
      </w:hyperlink>
      <w:r>
        <w:t xml:space="preserve">, </w:t>
      </w:r>
      <w:r w:rsidRPr="00B76627">
        <w:rPr>
          <w:rFonts w:ascii="Arial" w:eastAsia="Times New Roman" w:hAnsi="Arial" w:cs="Arial"/>
          <w:sz w:val="24"/>
          <w:szCs w:val="24"/>
          <w:lang w:eastAsia="pt-PT"/>
        </w:rPr>
        <w:t xml:space="preserve">a RIS3 2021-2027 organiza-se em domínios diferenciadores — Recursos Naturais e </w:t>
      </w:r>
      <w:proofErr w:type="spellStart"/>
      <w:r w:rsidRPr="00B76627">
        <w:rPr>
          <w:rFonts w:ascii="Arial" w:eastAsia="Times New Roman" w:hAnsi="Arial" w:cs="Arial"/>
          <w:sz w:val="24"/>
          <w:szCs w:val="24"/>
          <w:lang w:eastAsia="pt-PT"/>
        </w:rPr>
        <w:t>Bioeconomia</w:t>
      </w:r>
      <w:proofErr w:type="spellEnd"/>
      <w:r w:rsidRPr="00B76627">
        <w:rPr>
          <w:rFonts w:ascii="Arial" w:eastAsia="Times New Roman" w:hAnsi="Arial" w:cs="Arial"/>
          <w:sz w:val="24"/>
          <w:szCs w:val="24"/>
          <w:lang w:eastAsia="pt-PT"/>
        </w:rPr>
        <w:t>, Materiais e Tecnologias de Produção, Tecnologias Digitais e Espaço, Energia e Clima, Saúde e Bem-Estar, e Cultura, Criatividade e Turismo — apoiados numa forte articulação entre universidades, centros de investigação e empresas industriais e tecnológicas.</w:t>
      </w:r>
    </w:p>
    <w:p w:rsidR="00B76627" w:rsidRPr="00B76627" w:rsidRDefault="004D347B" w:rsidP="00B76627">
      <w:pPr>
        <w:pStyle w:val="NormalWeb"/>
        <w:rPr>
          <w:rFonts w:ascii="Arial" w:hAnsi="Arial" w:cs="Arial"/>
        </w:rPr>
      </w:pPr>
      <w:r w:rsidRPr="004D347B">
        <w:rPr>
          <w:rFonts w:ascii="Arial" w:hAnsi="Arial" w:cs="Arial"/>
        </w:rPr>
        <w:t xml:space="preserve">Em </w:t>
      </w:r>
      <w:hyperlink r:id="rId7" w:history="1">
        <w:r w:rsidRPr="00FD54DC">
          <w:rPr>
            <w:rStyle w:val="Hiperligao"/>
            <w:rFonts w:ascii="Arial" w:hAnsi="Arial" w:cs="Arial"/>
          </w:rPr>
          <w:t>Lisboa</w:t>
        </w:r>
      </w:hyperlink>
      <w:r w:rsidRPr="004D347B">
        <w:rPr>
          <w:rFonts w:ascii="Arial" w:hAnsi="Arial" w:cs="Arial"/>
        </w:rPr>
        <w:t xml:space="preserve">, </w:t>
      </w:r>
      <w:r w:rsidRPr="00B76627">
        <w:rPr>
          <w:rFonts w:ascii="Arial" w:hAnsi="Arial" w:cs="Arial"/>
        </w:rPr>
        <w:t xml:space="preserve">a RIS3 </w:t>
      </w:r>
      <w:r w:rsidR="00B76627" w:rsidRPr="00B76627">
        <w:rPr>
          <w:rFonts w:ascii="Arial" w:hAnsi="Arial" w:cs="Arial"/>
        </w:rPr>
        <w:t xml:space="preserve">2021-2027 </w:t>
      </w:r>
      <w:r w:rsidR="00B76627" w:rsidRPr="00B76627">
        <w:rPr>
          <w:rFonts w:ascii="Arial" w:hAnsi="Arial" w:cs="Arial"/>
          <w:bCs/>
        </w:rPr>
        <w:t>organiza-se em domínios temáticos — Agroalimentar, Economia Azul, Indústrias Criativas e Culturais, Mobilidade e Transportes, Saúde e Turismo e Hospitalidade — complementados por dois domínios transversais: Tecnologias Digitais e Ensino Superior/Talento. Esta combinação posiciona Lisboa como uma plataforma global de conhecimento, criatividade, tecnologia e inovação, articulando as prioridades produtivas com a sua capacidade científica, cultural e internacional.</w:t>
      </w:r>
    </w:p>
    <w:p w:rsidR="00B76627" w:rsidRDefault="00431655" w:rsidP="004D347B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pt-PT"/>
        </w:rPr>
      </w:pPr>
      <w:r w:rsidRPr="00431655">
        <w:rPr>
          <w:rFonts w:ascii="Arial" w:eastAsia="Times New Roman" w:hAnsi="Arial" w:cs="Arial"/>
          <w:sz w:val="24"/>
          <w:szCs w:val="24"/>
          <w:lang w:eastAsia="pt-PT"/>
        </w:rPr>
        <w:lastRenderedPageBreak/>
        <w:t xml:space="preserve">No </w:t>
      </w:r>
      <w:hyperlink r:id="rId8" w:history="1">
        <w:r w:rsidRPr="00431655">
          <w:rPr>
            <w:rStyle w:val="Hiperligao"/>
            <w:rFonts w:ascii="Arial" w:eastAsia="Times New Roman" w:hAnsi="Arial" w:cs="Arial"/>
            <w:sz w:val="24"/>
            <w:szCs w:val="24"/>
            <w:lang w:eastAsia="pt-PT"/>
          </w:rPr>
          <w:t>Alentejo</w:t>
        </w:r>
      </w:hyperlink>
      <w:r w:rsidRPr="00431655">
        <w:rPr>
          <w:rFonts w:ascii="Arial" w:eastAsia="Times New Roman" w:hAnsi="Arial" w:cs="Arial"/>
          <w:sz w:val="24"/>
          <w:szCs w:val="24"/>
          <w:lang w:eastAsia="pt-PT"/>
        </w:rPr>
        <w:t xml:space="preserve">, a EREI 2030 orienta a especialização regional para domínios como a </w:t>
      </w:r>
      <w:proofErr w:type="spellStart"/>
      <w:r w:rsidRPr="00431655">
        <w:rPr>
          <w:rFonts w:ascii="Arial" w:eastAsia="Times New Roman" w:hAnsi="Arial" w:cs="Arial"/>
          <w:sz w:val="24"/>
          <w:szCs w:val="24"/>
          <w:lang w:eastAsia="pt-PT"/>
        </w:rPr>
        <w:t>Bioeconomia</w:t>
      </w:r>
      <w:proofErr w:type="spellEnd"/>
      <w:r w:rsidRPr="00431655">
        <w:rPr>
          <w:rFonts w:ascii="Arial" w:eastAsia="Times New Roman" w:hAnsi="Arial" w:cs="Arial"/>
          <w:sz w:val="24"/>
          <w:szCs w:val="24"/>
          <w:lang w:eastAsia="pt-PT"/>
        </w:rPr>
        <w:t xml:space="preserve"> Sustentável, a Energia Sustentável, a Mobilidade e Logística, os Serviços de Turismo e Hospitalidade, os Ecossistemas Culturais e Criativos e a Inovação Social e Cidadania. Esta estratégia demonstra como territórios historicamente periféricos podem afirmar novas centralidades económicas quando mobilizam investimento, conhecimento e foco estratégico em torno das suas vantagens distintivas.</w:t>
      </w:r>
    </w:p>
    <w:p w:rsidR="004D347B" w:rsidRPr="004D347B" w:rsidRDefault="004D347B" w:rsidP="004D347B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pt-PT"/>
        </w:rPr>
      </w:pPr>
      <w:r w:rsidRPr="004D347B">
        <w:rPr>
          <w:rFonts w:ascii="Arial" w:eastAsia="Times New Roman" w:hAnsi="Arial" w:cs="Arial"/>
          <w:sz w:val="24"/>
          <w:szCs w:val="24"/>
          <w:lang w:eastAsia="pt-PT"/>
        </w:rPr>
        <w:t>As regiões são, assim, a chave do futuro: é nelas que se produz valor, se gera inovação e se constrói coesão. Portugal tem uma vocação antiga: foi pioneiro nas trocas comerciais, abriu rotas, ligou economias e culturas e afirmou-se pela curiosidade e pela ousadia. Essa história deve inspirar-nos a reafirmar uma mentalidade de descoberta, inovação e presença global, agora construída a partir dos territórios.</w:t>
      </w:r>
    </w:p>
    <w:p w:rsidR="004D347B" w:rsidRPr="004D347B" w:rsidRDefault="004D347B" w:rsidP="004D347B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pt-PT"/>
        </w:rPr>
      </w:pPr>
      <w:r w:rsidRPr="004D347B">
        <w:rPr>
          <w:rFonts w:ascii="Arial" w:eastAsia="Times New Roman" w:hAnsi="Arial" w:cs="Arial"/>
          <w:sz w:val="24"/>
          <w:szCs w:val="24"/>
          <w:lang w:eastAsia="pt-PT"/>
        </w:rPr>
        <w:t>Portugal tem uma oportunidade estratégica: transformar as suas regiões em plataformas de liderança. O futuro não se decide apenas no global — começa no local. E é deste movimento, do local à liderança global, que nasce o verdadeiro poder das regiões.</w:t>
      </w:r>
    </w:p>
    <w:p w:rsidR="00936DF2" w:rsidRPr="00936DF2" w:rsidRDefault="00936DF2" w:rsidP="00936DF2">
      <w:pPr>
        <w:spacing w:before="100" w:beforeAutospacing="1" w:after="100" w:afterAutospacing="1" w:line="360" w:lineRule="auto"/>
        <w:jc w:val="both"/>
        <w:rPr>
          <w:rFonts w:ascii="Arial" w:eastAsia="Times New Roman" w:hAnsi="Arial" w:cs="Arial"/>
          <w:sz w:val="24"/>
          <w:szCs w:val="24"/>
          <w:lang w:eastAsia="pt-PT"/>
        </w:rPr>
      </w:pPr>
      <w:r w:rsidRPr="00936DF2">
        <w:rPr>
          <w:rFonts w:ascii="Arial" w:eastAsia="Times New Roman" w:hAnsi="Arial" w:cs="Arial"/>
          <w:i/>
          <w:iCs/>
          <w:sz w:val="24"/>
          <w:szCs w:val="24"/>
          <w:lang w:eastAsia="pt-PT"/>
        </w:rPr>
        <w:t>Ana Brochado, Presidente da DRCA, Ordem dos Economistas. Professora Catedrática na Universidade Aberta. DINÂMIA’CET.</w:t>
      </w:r>
    </w:p>
    <w:p w:rsidR="00936DF2" w:rsidRDefault="00936DF2"/>
    <w:sectPr w:rsidR="00936DF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7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6DF2"/>
    <w:rsid w:val="00130B93"/>
    <w:rsid w:val="00413842"/>
    <w:rsid w:val="00431655"/>
    <w:rsid w:val="004D347B"/>
    <w:rsid w:val="005D0169"/>
    <w:rsid w:val="005F6BCB"/>
    <w:rsid w:val="006A15E2"/>
    <w:rsid w:val="00861CC5"/>
    <w:rsid w:val="00936DF2"/>
    <w:rsid w:val="009704B5"/>
    <w:rsid w:val="00B71CD4"/>
    <w:rsid w:val="00B76627"/>
    <w:rsid w:val="00FD5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707A0D"/>
  <w15:chartTrackingRefBased/>
  <w15:docId w15:val="{469E54B3-AA5F-4F96-9E18-87290A9D2D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36DF2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unhideWhenUsed/>
    <w:rsid w:val="00936DF2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4138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styleId="Forte">
    <w:name w:val="Strong"/>
    <w:basedOn w:val="Tipodeletrapredefinidodopargrafo"/>
    <w:uiPriority w:val="22"/>
    <w:qFormat/>
    <w:rsid w:val="00B7662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848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9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24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cdr-a.gov.pt/wp-content/uploads/2021/05/EREI2030.pdf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ccdr-lvt.pt/wp-content/uploads/2023/03/RIS3_Lisboa_2030_v1_4.pdf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ris3.ccdrc.pt/index.php/ris3-documentacao/regional/revisao-da-ris3-do-centro/viewdocument" TargetMode="External"/><Relationship Id="rId5" Type="http://schemas.openxmlformats.org/officeDocument/2006/relationships/hyperlink" Target="https://ec.europa.eu/regional_policy/information-sources/publications/reports/2023/regional-trends-for-growth-and-convergence-in-the-european-union_en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commission.europa.eu/topics/competitiveness/draghi-report_en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650</Words>
  <Characters>4118</Characters>
  <Application>Microsoft Office Word</Application>
  <DocSecurity>0</DocSecurity>
  <Lines>74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Brochado</dc:creator>
  <cp:keywords/>
  <dc:description/>
  <cp:lastModifiedBy>Ana Brochado</cp:lastModifiedBy>
  <cp:revision>5</cp:revision>
  <dcterms:created xsi:type="dcterms:W3CDTF">2025-11-26T09:19:00Z</dcterms:created>
  <dcterms:modified xsi:type="dcterms:W3CDTF">2025-11-26T11:24:00Z</dcterms:modified>
</cp:coreProperties>
</file>