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E2" w:rsidRPr="00936DF2" w:rsidRDefault="006A15E2">
      <w:pPr>
        <w:rPr>
          <w:rFonts w:ascii="Arial" w:hAnsi="Arial" w:cs="Arial"/>
        </w:rPr>
      </w:pPr>
    </w:p>
    <w:p w:rsidR="00936DF2" w:rsidRPr="00936DF2" w:rsidRDefault="00936DF2">
      <w:pPr>
        <w:rPr>
          <w:rFonts w:ascii="Arial" w:hAnsi="Arial" w:cs="Arial"/>
        </w:rPr>
      </w:pP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b/>
          <w:sz w:val="24"/>
          <w:szCs w:val="24"/>
          <w:lang w:eastAsia="pt-PT"/>
        </w:rPr>
        <w:t>Inovar é bom. Exportar inovação</w:t>
      </w:r>
      <w:bookmarkStart w:id="0" w:name="_GoBack"/>
      <w:bookmarkEnd w:id="0"/>
      <w:r w:rsidRPr="00936DF2">
        <w:rPr>
          <w:rFonts w:ascii="Arial" w:eastAsia="Times New Roman" w:hAnsi="Arial" w:cs="Arial"/>
          <w:b/>
          <w:sz w:val="24"/>
          <w:szCs w:val="24"/>
          <w:lang w:eastAsia="pt-PT"/>
        </w:rPr>
        <w:t xml:space="preserve"> é ainda melhor.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A força de uma economia mede-se cada vez menos pelo que produz e cada vez mais pelo que consegue transformar em valor global. Portugal aprendeu a inovar — agora precisa de aprender a escalar. O </w:t>
      </w:r>
      <w:hyperlink r:id="rId4" w:history="1">
        <w:r w:rsidRPr="00936DF2">
          <w:rPr>
            <w:rStyle w:val="Hiperligao"/>
            <w:rFonts w:ascii="Arial" w:eastAsia="Times New Roman" w:hAnsi="Arial" w:cs="Arial"/>
            <w:i/>
            <w:iCs/>
            <w:sz w:val="24"/>
            <w:szCs w:val="24"/>
            <w:lang w:eastAsia="pt-PT"/>
          </w:rPr>
          <w:t xml:space="preserve">Global </w:t>
        </w:r>
        <w:proofErr w:type="spellStart"/>
        <w:r w:rsidRPr="00936DF2">
          <w:rPr>
            <w:rStyle w:val="Hiperligao"/>
            <w:rFonts w:ascii="Arial" w:eastAsia="Times New Roman" w:hAnsi="Arial" w:cs="Arial"/>
            <w:i/>
            <w:iCs/>
            <w:sz w:val="24"/>
            <w:szCs w:val="24"/>
            <w:lang w:eastAsia="pt-PT"/>
          </w:rPr>
          <w:t>Innovation</w:t>
        </w:r>
        <w:proofErr w:type="spellEnd"/>
        <w:r w:rsidRPr="00936DF2">
          <w:rPr>
            <w:rStyle w:val="Hiperligao"/>
            <w:rFonts w:ascii="Arial" w:eastAsia="Times New Roman" w:hAnsi="Arial" w:cs="Arial"/>
            <w:i/>
            <w:iCs/>
            <w:sz w:val="24"/>
            <w:szCs w:val="24"/>
            <w:lang w:eastAsia="pt-PT"/>
          </w:rPr>
          <w:t xml:space="preserve"> </w:t>
        </w:r>
        <w:proofErr w:type="spellStart"/>
        <w:r w:rsidRPr="00936DF2">
          <w:rPr>
            <w:rStyle w:val="Hiperligao"/>
            <w:rFonts w:ascii="Arial" w:eastAsia="Times New Roman" w:hAnsi="Arial" w:cs="Arial"/>
            <w:i/>
            <w:iCs/>
            <w:sz w:val="24"/>
            <w:szCs w:val="24"/>
            <w:lang w:eastAsia="pt-PT"/>
          </w:rPr>
          <w:t>Index</w:t>
        </w:r>
        <w:proofErr w:type="spellEnd"/>
        <w:r w:rsidRPr="00936DF2">
          <w:rPr>
            <w:rStyle w:val="Hiperligao"/>
            <w:rFonts w:ascii="Arial" w:eastAsia="Times New Roman" w:hAnsi="Arial" w:cs="Arial"/>
            <w:i/>
            <w:iCs/>
            <w:sz w:val="24"/>
            <w:szCs w:val="24"/>
            <w:lang w:eastAsia="pt-PT"/>
          </w:rPr>
          <w:t xml:space="preserve"> 2025</w:t>
        </w:r>
      </w:hyperlink>
      <w:r w:rsidRPr="00936DF2">
        <w:rPr>
          <w:rFonts w:ascii="Arial" w:eastAsia="Times New Roman" w:hAnsi="Arial" w:cs="Arial"/>
          <w:i/>
          <w:iCs/>
          <w:sz w:val="24"/>
          <w:szCs w:val="24"/>
          <w:lang w:eastAsia="pt-PT"/>
        </w:rPr>
        <w:t xml:space="preserve"> </w:t>
      </w:r>
      <w:r w:rsidRPr="00936DF2">
        <w:rPr>
          <w:rFonts w:ascii="Arial" w:eastAsia="Times New Roman" w:hAnsi="Arial" w:cs="Arial"/>
          <w:iCs/>
          <w:sz w:val="24"/>
          <w:szCs w:val="24"/>
          <w:lang w:eastAsia="pt-PT"/>
        </w:rPr>
        <w:t>(GII 25)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, publicado pela </w:t>
      </w:r>
      <w:hyperlink r:id="rId5" w:history="1">
        <w:r w:rsidRPr="00936DF2">
          <w:rPr>
            <w:rStyle w:val="Hiperligao"/>
            <w:rFonts w:ascii="Arial" w:eastAsia="Times New Roman" w:hAnsi="Arial" w:cs="Arial"/>
            <w:sz w:val="24"/>
            <w:szCs w:val="24"/>
            <w:lang w:eastAsia="pt-PT"/>
          </w:rPr>
          <w:t>Organização Mundial da Propriedade Intelectual</w:t>
        </w:r>
      </w:hyperlink>
      <w:r w:rsidRPr="00936DF2">
        <w:rPr>
          <w:rFonts w:ascii="Arial" w:eastAsia="Times New Roman" w:hAnsi="Arial" w:cs="Arial"/>
          <w:sz w:val="24"/>
          <w:szCs w:val="24"/>
          <w:lang w:eastAsia="pt-PT"/>
        </w:rPr>
        <w:t>, volta a mostrar um país criativo e competitivo, mas ainda longe das potências que convertem conhecimento em riqueza. Inovar é hoje condição necessária, mas não suficiente: é preciso que a inovação viaje, que cruze fronteiras e que se torne exportação.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O novo mapa mundial da inovação tem um rosto asiático. A China lidera com vinte e quatro regiões no Top 100 de clusters de inovação, seguida do Japão, da Coreia do Sul e de Singapura. A Ásia alcançou o que a Europa ainda procura: ligar ciência, capital e indústria sob uma estratégia de longo prazo. </w:t>
      </w:r>
      <w:r w:rsidR="005F6BCB" w:rsidRPr="005F6BCB">
        <w:rPr>
          <w:rFonts w:ascii="Arial" w:eastAsia="Times New Roman" w:hAnsi="Arial" w:cs="Arial"/>
          <w:sz w:val="24"/>
          <w:szCs w:val="24"/>
          <w:lang w:eastAsia="pt-PT"/>
        </w:rPr>
        <w:t xml:space="preserve">Nos Estados Unidos e na Europa, ecossistemas como Boston, Silicon </w:t>
      </w:r>
      <w:proofErr w:type="spellStart"/>
      <w:r w:rsidR="005F6BCB" w:rsidRPr="005F6BCB">
        <w:rPr>
          <w:rFonts w:ascii="Arial" w:eastAsia="Times New Roman" w:hAnsi="Arial" w:cs="Arial"/>
          <w:sz w:val="24"/>
          <w:szCs w:val="24"/>
          <w:lang w:eastAsia="pt-PT"/>
        </w:rPr>
        <w:t>Valley</w:t>
      </w:r>
      <w:proofErr w:type="spellEnd"/>
      <w:r w:rsidR="005F6BCB" w:rsidRPr="005F6BCB">
        <w:rPr>
          <w:rFonts w:ascii="Arial" w:eastAsia="Times New Roman" w:hAnsi="Arial" w:cs="Arial"/>
          <w:sz w:val="24"/>
          <w:szCs w:val="24"/>
          <w:lang w:eastAsia="pt-PT"/>
        </w:rPr>
        <w:t>, Londres, Paris e Munique continuam a ser referências pela densidade tecnológica</w:t>
      </w:r>
      <w:r w:rsidR="005F6BCB" w:rsidRPr="005F6BCB">
        <w:rPr>
          <w:rFonts w:ascii="Arial" w:eastAsia="Times New Roman" w:hAnsi="Arial" w:cs="Arial"/>
          <w:sz w:val="24"/>
          <w:szCs w:val="24"/>
          <w:lang w:eastAsia="pt-PT"/>
        </w:rPr>
        <w:t xml:space="preserve">. 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>Nesses territórios, inovar não é apenas inventar; é também industrializar, escalar e internacionalizar. É essa capacidade de transformar conhecimento em produto que distingue as economias mais resilientes e mais exportadoras.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Portugal surge em 31.º lugar entre 139 economias no GII 2025. É um resultado consistente, que confirma uma base científica sólida, um ensino superior ativo e um ambiente empresarial cada vez mais empreendedor. Lisboa e Porto aparecem já como polos reconhecidos de inovação, ainda que fora do Top 100 mundial. Este é um sinal encorajador: as ideias existem, o talento está presente e o ecossistema amadurece. Mas a distância entre a invenção e o impacto económico ainda é grande. O país destaca-se sobretudo em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capital humano e investigação (21.º lugar)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,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output criativo (25.º)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e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sofisticação de negócios (26.º)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— pilares que revelam qualidade científica e capacidade inventiva —, mas continua mais forte na criação do que na consolidação, mais centrado na investigação do que na comercialização e mais dependente de fundos públicos do que de capital privado.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No território, a energia inovadora está a alargar-se. Lisboa é hoje um laboratório de tecnologia e serviços digitais, com </w:t>
      </w:r>
      <w:proofErr w:type="spellStart"/>
      <w:r w:rsidRPr="00936DF2">
        <w:rPr>
          <w:rFonts w:ascii="Arial" w:eastAsia="Times New Roman" w:hAnsi="Arial" w:cs="Arial"/>
          <w:sz w:val="24"/>
          <w:szCs w:val="24"/>
          <w:lang w:eastAsia="pt-PT"/>
        </w:rPr>
        <w:t>start-ups</w:t>
      </w:r>
      <w:proofErr w:type="spellEnd"/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que projetam Portugal no cenário europeu. O Centro consolida o seu papel industrial e científico, com universidades que transferem conhecimento e empresas que o transformam em produtos. O Alentejo desponta como espaço de experimentação sustentável, nas energias renováveis e na agroindústria. Estas três regiões simbolizam uma geografia de inovação em movimento. O desafio é que funcionem em rede, criando escala e continuidade, em vez de somarem esforços isolados e dispersos.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Os custos de contexto continuam a ser o obstáculo silencioso ao progresso. A burocracia que retarda decisões, a fiscalidade que desincentiva o investimento 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lastRenderedPageBreak/>
        <w:t xml:space="preserve">e a lentidão no acesso ao capital transformam a inovação num percurso mais árduo do que deveria ser. Portugal mantém-se apenas na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48.ª posição no pilar das Instituições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do GII 25, o que reflete um ambiente regulatório ainda pesado e pouco ágil. O financiamento empresarial continua excessivamente dependente do crédito bancário, enquanto o mercado de capitais permanece subaproveitado. Esta limitação estrutural condiciona a capacidade de transformar boas ideias em negócios sustentáveis e de fazer da inovação um verdadeiro motor de competitividade internacional.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sz w:val="24"/>
          <w:szCs w:val="24"/>
          <w:lang w:eastAsia="pt-PT"/>
        </w:rPr>
        <w:t>Portugal tem o essencial: talento, estabilidade, qualidade de vida e instituições sólidas. Falta-lhe alinhar incentivos e simplificar processos para libertar o potencial de quem quer criar e exportar valor. O futuro da economia portuguesa não está apenas nas ideias que gera, mas nas que consegue fazer chegar ao mundo. Porque inovar é, de facto, bom.</w:t>
      </w:r>
      <w:r>
        <w:rPr>
          <w:rFonts w:ascii="Arial" w:eastAsia="Times New Roman" w:hAnsi="Arial" w:cs="Arial"/>
          <w:sz w:val="24"/>
          <w:szCs w:val="24"/>
          <w:lang w:eastAsia="pt-PT"/>
        </w:rPr>
        <w:t xml:space="preserve"> 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Mas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exportar inovação</w:t>
      </w:r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— e ver o selo “</w:t>
      </w:r>
      <w:proofErr w:type="spellStart"/>
      <w:r w:rsidRPr="00936DF2">
        <w:rPr>
          <w:rFonts w:ascii="Arial" w:eastAsia="Times New Roman" w:hAnsi="Arial" w:cs="Arial"/>
          <w:sz w:val="24"/>
          <w:szCs w:val="24"/>
          <w:lang w:eastAsia="pt-PT"/>
        </w:rPr>
        <w:t>Made</w:t>
      </w:r>
      <w:proofErr w:type="spellEnd"/>
      <w:r w:rsidRPr="00936DF2">
        <w:rPr>
          <w:rFonts w:ascii="Arial" w:eastAsia="Times New Roman" w:hAnsi="Arial" w:cs="Arial"/>
          <w:sz w:val="24"/>
          <w:szCs w:val="24"/>
          <w:lang w:eastAsia="pt-PT"/>
        </w:rPr>
        <w:t xml:space="preserve"> in Portugal” associado à tecnologia, à sustentabilidade e ao conhecimento — </w:t>
      </w:r>
      <w:r w:rsidRPr="00936DF2">
        <w:rPr>
          <w:rFonts w:ascii="Arial" w:eastAsia="Times New Roman" w:hAnsi="Arial" w:cs="Arial"/>
          <w:bCs/>
          <w:sz w:val="24"/>
          <w:szCs w:val="24"/>
          <w:lang w:eastAsia="pt-PT"/>
        </w:rPr>
        <w:t>é ainda melhor.</w:t>
      </w:r>
    </w:p>
    <w:p w:rsidR="00936DF2" w:rsidRPr="00936DF2" w:rsidRDefault="00936DF2" w:rsidP="00936DF2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936DF2" w:rsidRPr="00936DF2" w:rsidRDefault="00936DF2" w:rsidP="00936DF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i/>
          <w:iCs/>
          <w:sz w:val="24"/>
          <w:szCs w:val="24"/>
          <w:lang w:eastAsia="pt-PT"/>
        </w:rPr>
        <w:t>Ana Brochado, Presidente da DRCA, Ordem dos Economistas. Professora Catedrática na Universidade Aberta. DINÂMIA’CET.</w:t>
      </w:r>
    </w:p>
    <w:p w:rsidR="00936DF2" w:rsidRDefault="00936DF2"/>
    <w:sectPr w:rsidR="00936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F2"/>
    <w:rsid w:val="005F6BCB"/>
    <w:rsid w:val="006A15E2"/>
    <w:rsid w:val="00936DF2"/>
    <w:rsid w:val="00B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EF64"/>
  <w15:chartTrackingRefBased/>
  <w15:docId w15:val="{469E54B3-AA5F-4F96-9E18-87290A9D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DF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36D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ipo.int/portal/en/index.html" TargetMode="External"/><Relationship Id="rId4" Type="http://schemas.openxmlformats.org/officeDocument/2006/relationships/hyperlink" Target="https://www.wipo.int/web-publications/global-innovation-index-2025/en/index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3582</Characters>
  <Application>Microsoft Office Word</Application>
  <DocSecurity>0</DocSecurity>
  <Lines>56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3</cp:revision>
  <dcterms:created xsi:type="dcterms:W3CDTF">2025-10-28T18:48:00Z</dcterms:created>
  <dcterms:modified xsi:type="dcterms:W3CDTF">2025-10-28T20:17:00Z</dcterms:modified>
</cp:coreProperties>
</file>